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A4407" w:rsidRDefault="00704133" w:rsidP="001A72A7">
      <w:pPr>
        <w:jc w:val="both"/>
        <w:rPr>
          <w:rFonts w:ascii="Calibri" w:hAnsi="Calibri" w:cs="Calibri"/>
          <w:sz w:val="20"/>
          <w:szCs w:val="20"/>
        </w:rPr>
      </w:pPr>
      <w:r>
        <w:rPr>
          <w:noProof/>
        </w:rPr>
        <mc:AlternateContent>
          <mc:Choice Requires="wps">
            <w:drawing>
              <wp:anchor distT="0" distB="0" distL="114300" distR="114300" simplePos="0" relativeHeight="251659264" behindDoc="0" locked="0" layoutInCell="1" allowOverlap="1">
                <wp:simplePos x="0" y="0"/>
                <wp:positionH relativeFrom="column">
                  <wp:posOffset>-174625</wp:posOffset>
                </wp:positionH>
                <wp:positionV relativeFrom="paragraph">
                  <wp:posOffset>109855</wp:posOffset>
                </wp:positionV>
                <wp:extent cx="6115685" cy="1163320"/>
                <wp:effectExtent l="0" t="0" r="2540" b="3175"/>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115685" cy="1163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74707" w:rsidRDefault="00874707" w:rsidP="001A72A7">
                            <w:pPr>
                              <w:pBdr>
                                <w:top w:val="single" w:sz="4" w:space="1" w:color="auto"/>
                              </w:pBdr>
                              <w:jc w:val="center"/>
                              <w:rPr>
                                <w:b/>
                                <w:color w:val="0000FF"/>
                                <w:sz w:val="28"/>
                                <w:szCs w:val="28"/>
                              </w:rPr>
                            </w:pPr>
                          </w:p>
                          <w:p w:rsidR="00874707" w:rsidRPr="00E639BF" w:rsidRDefault="00874707" w:rsidP="001A72A7">
                            <w:pPr>
                              <w:pBdr>
                                <w:bottom w:val="single" w:sz="4" w:space="1" w:color="auto"/>
                              </w:pBdr>
                              <w:jc w:val="center"/>
                              <w:rPr>
                                <w:b/>
                                <w:color w:val="17365D" w:themeColor="text2" w:themeShade="BF"/>
                                <w:sz w:val="28"/>
                                <w:szCs w:val="28"/>
                              </w:rPr>
                            </w:pPr>
                            <w:r w:rsidRPr="00E639BF">
                              <w:rPr>
                                <w:b/>
                                <w:color w:val="17365D" w:themeColor="text2" w:themeShade="BF"/>
                                <w:sz w:val="28"/>
                                <w:szCs w:val="28"/>
                              </w:rPr>
                              <w:t>COMMENTI TECNICO-SCIENTIFICI RELATIVI AL SITO</w:t>
                            </w:r>
                          </w:p>
                          <w:p w:rsidR="00874707" w:rsidRPr="00E639BF" w:rsidRDefault="00874707" w:rsidP="001A72A7">
                            <w:pPr>
                              <w:pBdr>
                                <w:bottom w:val="single" w:sz="4" w:space="1" w:color="auto"/>
                              </w:pBdr>
                              <w:jc w:val="center"/>
                              <w:rPr>
                                <w:b/>
                                <w:color w:val="17365D" w:themeColor="text2" w:themeShade="BF"/>
                                <w:sz w:val="28"/>
                                <w:szCs w:val="28"/>
                              </w:rPr>
                            </w:pPr>
                          </w:p>
                          <w:p w:rsidR="00874707" w:rsidRPr="00E639BF" w:rsidRDefault="00874707" w:rsidP="00D2026E">
                            <w:pPr>
                              <w:pBdr>
                                <w:bottom w:val="single" w:sz="4" w:space="1" w:color="auto"/>
                              </w:pBdr>
                              <w:jc w:val="center"/>
                              <w:rPr>
                                <w:color w:val="17365D" w:themeColor="text2" w:themeShade="BF"/>
                                <w:sz w:val="40"/>
                                <w:szCs w:val="40"/>
                              </w:rPr>
                            </w:pPr>
                            <w:r w:rsidRPr="00E639BF">
                              <w:rPr>
                                <w:b/>
                                <w:color w:val="17365D" w:themeColor="text2" w:themeShade="BF"/>
                                <w:sz w:val="44"/>
                                <w:szCs w:val="44"/>
                              </w:rPr>
                              <w:t>BA_MT-4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left:0;text-align:left;margin-left:-13.75pt;margin-top:8.65pt;width:481.55pt;height:91.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" stroked="f">
                <v:path arrowok="t"/>
                <v:textbox>
                  <w:txbxContent>
                    <w:p w:rsidR="00874707" w:rsidRDefault="00874707" w:rsidP="001A72A7">
                      <w:pPr>
                        <w:pBdr>
                          <w:top w:val="single" w:sz="4" w:space="1" w:color="auto"/>
                        </w:pBdr>
                        <w:jc w:val="center"/>
                        <w:rPr>
                          <w:b/>
                          <w:color w:val="0000FF"/>
                          <w:sz w:val="28"/>
                          <w:szCs w:val="28"/>
                        </w:rPr>
                      </w:pPr>
                    </w:p>
                    <w:p w:rsidR="00874707" w:rsidRPr="00E639BF" w:rsidRDefault="00874707" w:rsidP="001A72A7">
                      <w:pPr>
                        <w:pBdr>
                          <w:bottom w:val="single" w:sz="4" w:space="1" w:color="auto"/>
                        </w:pBdr>
                        <w:jc w:val="center"/>
                        <w:rPr>
                          <w:b/>
                          <w:color w:val="17365D" w:themeColor="text2" w:themeShade="BF"/>
                          <w:sz w:val="28"/>
                          <w:szCs w:val="28"/>
                        </w:rPr>
                      </w:pPr>
                      <w:r w:rsidRPr="00E639BF">
                        <w:rPr>
                          <w:b/>
                          <w:color w:val="17365D" w:themeColor="text2" w:themeShade="BF"/>
                          <w:sz w:val="28"/>
                          <w:szCs w:val="28"/>
                        </w:rPr>
                        <w:t>COMMENTI TECNICO-SCIENTIFICI RELATIVI AL SITO</w:t>
                      </w:r>
                    </w:p>
                    <w:p w:rsidR="00874707" w:rsidRPr="00E639BF" w:rsidRDefault="00874707" w:rsidP="001A72A7">
                      <w:pPr>
                        <w:pBdr>
                          <w:bottom w:val="single" w:sz="4" w:space="1" w:color="auto"/>
                        </w:pBdr>
                        <w:jc w:val="center"/>
                        <w:rPr>
                          <w:b/>
                          <w:color w:val="17365D" w:themeColor="text2" w:themeShade="BF"/>
                          <w:sz w:val="28"/>
                          <w:szCs w:val="28"/>
                        </w:rPr>
                      </w:pPr>
                    </w:p>
                    <w:p w:rsidR="00874707" w:rsidRPr="00E639BF" w:rsidRDefault="00874707" w:rsidP="00D2026E">
                      <w:pPr>
                        <w:pBdr>
                          <w:bottom w:val="single" w:sz="4" w:space="1" w:color="auto"/>
                        </w:pBdr>
                        <w:jc w:val="center"/>
                        <w:rPr>
                          <w:color w:val="17365D" w:themeColor="text2" w:themeShade="BF"/>
                          <w:sz w:val="40"/>
                          <w:szCs w:val="40"/>
                        </w:rPr>
                      </w:pPr>
                      <w:r w:rsidRPr="00E639BF">
                        <w:rPr>
                          <w:b/>
                          <w:color w:val="17365D" w:themeColor="text2" w:themeShade="BF"/>
                          <w:sz w:val="44"/>
                          <w:szCs w:val="44"/>
                        </w:rPr>
                        <w:t>BA_MT-4</w:t>
                      </w:r>
                    </w:p>
                  </w:txbxContent>
                </v:textbox>
              </v:shape>
            </w:pict>
          </mc:Fallback>
        </mc:AlternateContent>
      </w:r>
    </w:p>
    <w:p w:rsidR="002A4407" w:rsidRDefault="002A4407">
      <w:pPr>
        <w:tabs>
          <w:tab w:val="left" w:pos="4253"/>
          <w:tab w:val="left" w:pos="4962"/>
          <w:tab w:val="left" w:pos="5245"/>
        </w:tabs>
        <w:spacing w:line="276" w:lineRule="auto"/>
        <w:jc w:val="both"/>
        <w:rPr>
          <w:rFonts w:ascii="Calibri" w:hAnsi="Calibri"/>
          <w:sz w:val="20"/>
        </w:rPr>
      </w:pPr>
    </w:p>
    <w:p w:rsidR="00D2026E" w:rsidRDefault="00D2026E">
      <w:pPr>
        <w:tabs>
          <w:tab w:val="left" w:pos="4253"/>
          <w:tab w:val="left" w:pos="4962"/>
          <w:tab w:val="left" w:pos="5245"/>
        </w:tabs>
        <w:spacing w:line="276" w:lineRule="auto"/>
        <w:jc w:val="both"/>
        <w:rPr>
          <w:rFonts w:ascii="Calibri" w:hAnsi="Calibri"/>
          <w:sz w:val="20"/>
        </w:rPr>
      </w:pPr>
    </w:p>
    <w:p w:rsidR="00D2026E" w:rsidRDefault="00D2026E">
      <w:pPr>
        <w:tabs>
          <w:tab w:val="left" w:pos="4253"/>
          <w:tab w:val="left" w:pos="4962"/>
          <w:tab w:val="left" w:pos="5245"/>
        </w:tabs>
        <w:spacing w:line="276" w:lineRule="auto"/>
        <w:jc w:val="both"/>
        <w:rPr>
          <w:rFonts w:ascii="Calibri" w:hAnsi="Calibri"/>
          <w:sz w:val="20"/>
        </w:rPr>
      </w:pPr>
    </w:p>
    <w:p w:rsidR="00D2026E" w:rsidRDefault="00D2026E">
      <w:pPr>
        <w:tabs>
          <w:tab w:val="left" w:pos="4253"/>
          <w:tab w:val="left" w:pos="4962"/>
          <w:tab w:val="left" w:pos="5245"/>
        </w:tabs>
        <w:spacing w:line="276" w:lineRule="auto"/>
        <w:jc w:val="both"/>
        <w:rPr>
          <w:rFonts w:ascii="Calibri" w:hAnsi="Calibri"/>
          <w:sz w:val="20"/>
        </w:rPr>
      </w:pPr>
    </w:p>
    <w:p w:rsidR="00D2026E" w:rsidRDefault="00D2026E">
      <w:pPr>
        <w:tabs>
          <w:tab w:val="left" w:pos="4253"/>
          <w:tab w:val="left" w:pos="4962"/>
          <w:tab w:val="left" w:pos="5245"/>
        </w:tabs>
        <w:spacing w:line="276" w:lineRule="auto"/>
        <w:jc w:val="both"/>
        <w:rPr>
          <w:rFonts w:ascii="Calibri" w:hAnsi="Calibri"/>
          <w:sz w:val="20"/>
        </w:rPr>
      </w:pPr>
    </w:p>
    <w:p w:rsidR="00D2026E" w:rsidRDefault="00D2026E">
      <w:pPr>
        <w:tabs>
          <w:tab w:val="left" w:pos="4253"/>
          <w:tab w:val="left" w:pos="4962"/>
          <w:tab w:val="left" w:pos="5245"/>
        </w:tabs>
        <w:spacing w:line="276" w:lineRule="auto"/>
        <w:jc w:val="both"/>
        <w:rPr>
          <w:rFonts w:ascii="Calibri" w:hAnsi="Calibri"/>
          <w:sz w:val="20"/>
        </w:rPr>
      </w:pPr>
    </w:p>
    <w:p w:rsidR="00564122" w:rsidRPr="003743FB" w:rsidRDefault="00564122" w:rsidP="00564122">
      <w:pPr>
        <w:spacing w:before="150" w:line="276" w:lineRule="auto"/>
        <w:jc w:val="center"/>
        <w:rPr>
          <w:b/>
          <w:sz w:val="28"/>
        </w:rPr>
      </w:pPr>
      <w:r w:rsidRPr="003743FB">
        <w:rPr>
          <w:b/>
          <w:sz w:val="28"/>
        </w:rPr>
        <w:t>Bruno Giovanni</w:t>
      </w:r>
    </w:p>
    <w:p w:rsidR="00564122" w:rsidRPr="003743FB" w:rsidRDefault="00564122" w:rsidP="00564122">
      <w:pPr>
        <w:tabs>
          <w:tab w:val="left" w:pos="4253"/>
          <w:tab w:val="left" w:pos="4962"/>
          <w:tab w:val="left" w:pos="5245"/>
        </w:tabs>
        <w:spacing w:line="276" w:lineRule="auto"/>
        <w:jc w:val="center"/>
        <w:rPr>
          <w:rFonts w:ascii="Swis721 BdOul BT" w:hAnsi="Swis721 BdOul BT"/>
        </w:rPr>
      </w:pPr>
      <w:r>
        <w:rPr>
          <w:rFonts w:ascii="Swis721 BdOul BT" w:hAnsi="Swis721 BdOul BT"/>
        </w:rPr>
        <w:t xml:space="preserve">- </w:t>
      </w:r>
      <w:r w:rsidRPr="003743FB">
        <w:rPr>
          <w:rFonts w:ascii="Swis721 BdOul BT" w:hAnsi="Swis721 BdOul BT"/>
        </w:rPr>
        <w:t>Ordine Regionale dei Geologi della Puglia</w:t>
      </w:r>
      <w:r>
        <w:rPr>
          <w:rFonts w:ascii="Swis721 BdOul BT" w:hAnsi="Swis721 BdOul BT"/>
        </w:rPr>
        <w:t xml:space="preserve"> -</w:t>
      </w:r>
    </w:p>
    <w:p w:rsidR="00D2026E" w:rsidRDefault="00D2026E">
      <w:pPr>
        <w:tabs>
          <w:tab w:val="left" w:pos="4253"/>
          <w:tab w:val="left" w:pos="4962"/>
          <w:tab w:val="left" w:pos="5245"/>
        </w:tabs>
        <w:spacing w:line="276" w:lineRule="auto"/>
        <w:jc w:val="both"/>
        <w:rPr>
          <w:rFonts w:ascii="Calibri" w:hAnsi="Calibri"/>
          <w:sz w:val="20"/>
        </w:rPr>
      </w:pPr>
    </w:p>
    <w:p w:rsidR="00D2026E" w:rsidRPr="00D2026E" w:rsidRDefault="00D2026E" w:rsidP="00D2026E">
      <w:pPr>
        <w:tabs>
          <w:tab w:val="left" w:pos="4253"/>
          <w:tab w:val="left" w:pos="4962"/>
          <w:tab w:val="left" w:pos="5245"/>
        </w:tabs>
        <w:spacing w:line="276" w:lineRule="auto"/>
        <w:jc w:val="center"/>
        <w:rPr>
          <w:rFonts w:asciiTheme="majorHAnsi" w:eastAsia="Cambria" w:hAnsiTheme="majorHAnsi"/>
          <w:b/>
          <w:bCs/>
          <w:color w:val="0F243E" w:themeColor="text2" w:themeShade="80"/>
        </w:rPr>
      </w:pPr>
      <w:r w:rsidRPr="00D2026E">
        <w:rPr>
          <w:rFonts w:asciiTheme="majorHAnsi" w:eastAsia="Cambria" w:hAnsiTheme="majorHAnsi"/>
          <w:b/>
          <w:bCs/>
          <w:color w:val="0F243E" w:themeColor="text2" w:themeShade="80"/>
        </w:rPr>
        <w:t>IDENTIFICAZIONE DELL’AREA</w:t>
      </w:r>
    </w:p>
    <w:p w:rsidR="00D2026E" w:rsidRPr="00D2026E" w:rsidRDefault="00D2026E" w:rsidP="00D2026E">
      <w:pPr>
        <w:tabs>
          <w:tab w:val="left" w:pos="4253"/>
          <w:tab w:val="left" w:pos="4962"/>
          <w:tab w:val="left" w:pos="5245"/>
        </w:tabs>
        <w:spacing w:line="276" w:lineRule="auto"/>
        <w:jc w:val="center"/>
        <w:rPr>
          <w:rFonts w:asciiTheme="majorHAnsi" w:eastAsia="Cambria" w:hAnsiTheme="majorHAnsi"/>
          <w:b/>
          <w:bCs/>
        </w:rPr>
      </w:pPr>
    </w:p>
    <w:tbl>
      <w:tblPr>
        <w:tblStyle w:val="Grigliatabella"/>
        <w:tblW w:w="0" w:type="auto"/>
        <w:tblLook w:val="04A0" w:firstRow="1" w:lastRow="0" w:firstColumn="1" w:lastColumn="0" w:noHBand="0" w:noVBand="1"/>
      </w:tblPr>
      <w:tblGrid>
        <w:gridCol w:w="4414"/>
        <w:gridCol w:w="4415"/>
      </w:tblGrid>
      <w:tr w:rsidR="00D2026E" w:rsidRPr="00D2026E" w:rsidTr="00D2026E">
        <w:tc>
          <w:tcPr>
            <w:tcW w:w="4414" w:type="dxa"/>
            <w:shd w:val="clear" w:color="auto" w:fill="002060"/>
          </w:tcPr>
          <w:p w:rsidR="00D2026E" w:rsidRPr="00D2026E" w:rsidRDefault="00D2026E" w:rsidP="00D2026E">
            <w:pPr>
              <w:tabs>
                <w:tab w:val="left" w:pos="4253"/>
                <w:tab w:val="left" w:pos="4962"/>
                <w:tab w:val="left" w:pos="5245"/>
              </w:tabs>
              <w:spacing w:line="276" w:lineRule="auto"/>
              <w:jc w:val="center"/>
              <w:rPr>
                <w:rFonts w:asciiTheme="majorHAnsi" w:hAnsiTheme="majorHAnsi"/>
                <w:b/>
                <w:bCs/>
                <w:sz w:val="20"/>
              </w:rPr>
            </w:pPr>
            <w:r w:rsidRPr="00D2026E">
              <w:rPr>
                <w:rFonts w:asciiTheme="majorHAnsi" w:eastAsia="Cambria" w:hAnsiTheme="majorHAnsi"/>
                <w:b/>
                <w:bCs/>
                <w:sz w:val="28"/>
                <w:szCs w:val="28"/>
              </w:rPr>
              <w:t>Codice Identificativo</w:t>
            </w:r>
          </w:p>
        </w:tc>
        <w:tc>
          <w:tcPr>
            <w:tcW w:w="4415" w:type="dxa"/>
            <w:shd w:val="clear" w:color="auto" w:fill="002060"/>
          </w:tcPr>
          <w:p w:rsidR="00D2026E" w:rsidRPr="00D2026E" w:rsidRDefault="00D2026E" w:rsidP="00D2026E">
            <w:pPr>
              <w:suppressAutoHyphens w:val="0"/>
              <w:autoSpaceDE w:val="0"/>
              <w:autoSpaceDN w:val="0"/>
              <w:adjustRightInd w:val="0"/>
              <w:jc w:val="center"/>
              <w:rPr>
                <w:rFonts w:asciiTheme="majorHAnsi" w:eastAsia="Cambria" w:hAnsiTheme="majorHAnsi"/>
                <w:b/>
                <w:bCs/>
                <w:sz w:val="28"/>
                <w:szCs w:val="28"/>
              </w:rPr>
            </w:pPr>
            <w:r w:rsidRPr="00D2026E">
              <w:rPr>
                <w:rFonts w:asciiTheme="majorHAnsi" w:eastAsia="Cambria" w:hAnsiTheme="majorHAnsi"/>
                <w:b/>
                <w:bCs/>
                <w:sz w:val="28"/>
                <w:szCs w:val="28"/>
              </w:rPr>
              <w:t>BA_MT-4</w:t>
            </w:r>
          </w:p>
        </w:tc>
      </w:tr>
      <w:tr w:rsidR="00D2026E" w:rsidRPr="00D2026E" w:rsidTr="00D2026E">
        <w:tc>
          <w:tcPr>
            <w:tcW w:w="4414" w:type="dxa"/>
          </w:tcPr>
          <w:p w:rsidR="00D2026E" w:rsidRPr="00D2026E" w:rsidRDefault="00D2026E" w:rsidP="00D2026E">
            <w:pPr>
              <w:tabs>
                <w:tab w:val="left" w:pos="4253"/>
                <w:tab w:val="left" w:pos="4962"/>
                <w:tab w:val="left" w:pos="5245"/>
              </w:tabs>
              <w:spacing w:line="276" w:lineRule="auto"/>
              <w:jc w:val="center"/>
              <w:rPr>
                <w:rFonts w:asciiTheme="majorHAnsi" w:hAnsiTheme="majorHAnsi"/>
                <w:sz w:val="20"/>
              </w:rPr>
            </w:pPr>
            <w:r w:rsidRPr="00D2026E">
              <w:rPr>
                <w:rFonts w:asciiTheme="majorHAnsi" w:eastAsia="Cambria" w:hAnsiTheme="majorHAnsi"/>
                <w:sz w:val="20"/>
                <w:szCs w:val="20"/>
              </w:rPr>
              <w:t>Superficie area (ha)</w:t>
            </w:r>
          </w:p>
        </w:tc>
        <w:tc>
          <w:tcPr>
            <w:tcW w:w="4415" w:type="dxa"/>
          </w:tcPr>
          <w:p w:rsidR="00D2026E" w:rsidRPr="00D2026E" w:rsidRDefault="00D2026E" w:rsidP="00D2026E">
            <w:pPr>
              <w:suppressAutoHyphens w:val="0"/>
              <w:autoSpaceDE w:val="0"/>
              <w:autoSpaceDN w:val="0"/>
              <w:adjustRightInd w:val="0"/>
              <w:jc w:val="center"/>
              <w:rPr>
                <w:rFonts w:asciiTheme="majorHAnsi" w:eastAsia="Cambria" w:hAnsiTheme="majorHAnsi"/>
                <w:sz w:val="20"/>
                <w:szCs w:val="20"/>
              </w:rPr>
            </w:pPr>
            <w:r w:rsidRPr="00D2026E">
              <w:rPr>
                <w:rFonts w:asciiTheme="majorHAnsi" w:eastAsia="Cambria" w:hAnsiTheme="majorHAnsi"/>
                <w:sz w:val="20"/>
                <w:szCs w:val="20"/>
              </w:rPr>
              <w:t>615</w:t>
            </w:r>
          </w:p>
        </w:tc>
      </w:tr>
      <w:tr w:rsidR="00D2026E" w:rsidRPr="00D2026E" w:rsidTr="00D2026E">
        <w:tc>
          <w:tcPr>
            <w:tcW w:w="4414" w:type="dxa"/>
          </w:tcPr>
          <w:p w:rsidR="00D2026E" w:rsidRPr="00D2026E" w:rsidRDefault="00D2026E" w:rsidP="00D2026E">
            <w:pPr>
              <w:tabs>
                <w:tab w:val="left" w:pos="4253"/>
                <w:tab w:val="left" w:pos="4962"/>
                <w:tab w:val="left" w:pos="5245"/>
              </w:tabs>
              <w:spacing w:line="276" w:lineRule="auto"/>
              <w:jc w:val="center"/>
              <w:rPr>
                <w:rFonts w:asciiTheme="majorHAnsi" w:hAnsiTheme="majorHAnsi"/>
                <w:sz w:val="20"/>
              </w:rPr>
            </w:pPr>
            <w:r w:rsidRPr="00D2026E">
              <w:rPr>
                <w:rFonts w:asciiTheme="majorHAnsi" w:eastAsia="Cambria" w:hAnsiTheme="majorHAnsi"/>
                <w:sz w:val="20"/>
                <w:szCs w:val="20"/>
              </w:rPr>
              <w:t>Regione</w:t>
            </w:r>
          </w:p>
        </w:tc>
        <w:tc>
          <w:tcPr>
            <w:tcW w:w="4415" w:type="dxa"/>
          </w:tcPr>
          <w:p w:rsidR="00D2026E" w:rsidRPr="00D2026E" w:rsidRDefault="00D2026E" w:rsidP="00D2026E">
            <w:pPr>
              <w:suppressAutoHyphens w:val="0"/>
              <w:autoSpaceDE w:val="0"/>
              <w:autoSpaceDN w:val="0"/>
              <w:adjustRightInd w:val="0"/>
              <w:jc w:val="center"/>
              <w:rPr>
                <w:rFonts w:asciiTheme="majorHAnsi" w:eastAsia="Cambria" w:hAnsiTheme="majorHAnsi"/>
                <w:sz w:val="20"/>
                <w:szCs w:val="20"/>
              </w:rPr>
            </w:pPr>
            <w:r w:rsidRPr="00D2026E">
              <w:rPr>
                <w:rFonts w:asciiTheme="majorHAnsi" w:eastAsia="Cambria" w:hAnsiTheme="majorHAnsi"/>
                <w:sz w:val="20"/>
                <w:szCs w:val="20"/>
              </w:rPr>
              <w:t>Puglia, Basilicata</w:t>
            </w:r>
          </w:p>
        </w:tc>
      </w:tr>
      <w:tr w:rsidR="00D2026E" w:rsidRPr="00D2026E" w:rsidTr="00D2026E">
        <w:tc>
          <w:tcPr>
            <w:tcW w:w="4414" w:type="dxa"/>
          </w:tcPr>
          <w:p w:rsidR="00D2026E" w:rsidRPr="00D2026E" w:rsidRDefault="00D2026E" w:rsidP="00D2026E">
            <w:pPr>
              <w:tabs>
                <w:tab w:val="left" w:pos="4253"/>
                <w:tab w:val="left" w:pos="4962"/>
                <w:tab w:val="left" w:pos="5245"/>
              </w:tabs>
              <w:spacing w:line="276" w:lineRule="auto"/>
              <w:jc w:val="center"/>
              <w:rPr>
                <w:rFonts w:asciiTheme="majorHAnsi" w:hAnsiTheme="majorHAnsi"/>
                <w:sz w:val="20"/>
              </w:rPr>
            </w:pPr>
            <w:r w:rsidRPr="00D2026E">
              <w:rPr>
                <w:rFonts w:asciiTheme="majorHAnsi" w:eastAsia="Cambria" w:hAnsiTheme="majorHAnsi"/>
                <w:sz w:val="20"/>
                <w:szCs w:val="20"/>
              </w:rPr>
              <w:t>Provincia</w:t>
            </w:r>
          </w:p>
        </w:tc>
        <w:tc>
          <w:tcPr>
            <w:tcW w:w="4415" w:type="dxa"/>
          </w:tcPr>
          <w:p w:rsidR="00D2026E" w:rsidRPr="00D2026E" w:rsidRDefault="00D2026E" w:rsidP="00D2026E">
            <w:pPr>
              <w:suppressAutoHyphens w:val="0"/>
              <w:autoSpaceDE w:val="0"/>
              <w:autoSpaceDN w:val="0"/>
              <w:adjustRightInd w:val="0"/>
              <w:jc w:val="center"/>
              <w:rPr>
                <w:rFonts w:asciiTheme="majorHAnsi" w:eastAsia="Cambria" w:hAnsiTheme="majorHAnsi"/>
                <w:sz w:val="20"/>
                <w:szCs w:val="20"/>
              </w:rPr>
            </w:pPr>
            <w:r w:rsidRPr="00D2026E">
              <w:rPr>
                <w:rFonts w:asciiTheme="majorHAnsi" w:eastAsia="Cambria" w:hAnsiTheme="majorHAnsi"/>
                <w:sz w:val="20"/>
                <w:szCs w:val="20"/>
              </w:rPr>
              <w:t>Bari, Matera</w:t>
            </w:r>
          </w:p>
        </w:tc>
      </w:tr>
      <w:tr w:rsidR="00D2026E" w:rsidRPr="00D2026E" w:rsidTr="00D2026E">
        <w:tc>
          <w:tcPr>
            <w:tcW w:w="4414" w:type="dxa"/>
          </w:tcPr>
          <w:p w:rsidR="00D2026E" w:rsidRPr="00D2026E" w:rsidRDefault="00D2026E" w:rsidP="00D2026E">
            <w:pPr>
              <w:tabs>
                <w:tab w:val="left" w:pos="4253"/>
                <w:tab w:val="left" w:pos="4962"/>
                <w:tab w:val="left" w:pos="5245"/>
              </w:tabs>
              <w:spacing w:line="276" w:lineRule="auto"/>
              <w:jc w:val="center"/>
              <w:rPr>
                <w:rFonts w:asciiTheme="majorHAnsi" w:hAnsiTheme="majorHAnsi"/>
                <w:sz w:val="20"/>
              </w:rPr>
            </w:pPr>
            <w:r w:rsidRPr="00D2026E">
              <w:rPr>
                <w:rFonts w:asciiTheme="majorHAnsi" w:eastAsia="Cambria" w:hAnsiTheme="majorHAnsi"/>
                <w:sz w:val="20"/>
                <w:szCs w:val="20"/>
              </w:rPr>
              <w:t>Comune</w:t>
            </w:r>
          </w:p>
        </w:tc>
        <w:tc>
          <w:tcPr>
            <w:tcW w:w="4415" w:type="dxa"/>
          </w:tcPr>
          <w:p w:rsidR="00D2026E" w:rsidRPr="00D2026E" w:rsidRDefault="00D2026E" w:rsidP="00D2026E">
            <w:pPr>
              <w:suppressAutoHyphens w:val="0"/>
              <w:autoSpaceDE w:val="0"/>
              <w:autoSpaceDN w:val="0"/>
              <w:adjustRightInd w:val="0"/>
              <w:jc w:val="center"/>
              <w:rPr>
                <w:rFonts w:asciiTheme="majorHAnsi" w:eastAsia="Cambria" w:hAnsiTheme="majorHAnsi"/>
                <w:sz w:val="20"/>
                <w:szCs w:val="20"/>
              </w:rPr>
            </w:pPr>
            <w:r w:rsidRPr="00D2026E">
              <w:rPr>
                <w:rFonts w:asciiTheme="majorHAnsi" w:eastAsia="Cambria" w:hAnsiTheme="majorHAnsi"/>
                <w:sz w:val="20"/>
                <w:szCs w:val="20"/>
              </w:rPr>
              <w:t>Altamura, Matera</w:t>
            </w:r>
          </w:p>
        </w:tc>
      </w:tr>
      <w:tr w:rsidR="00D2026E" w:rsidRPr="00D2026E" w:rsidTr="00D2026E">
        <w:tc>
          <w:tcPr>
            <w:tcW w:w="4414" w:type="dxa"/>
          </w:tcPr>
          <w:p w:rsidR="00D2026E" w:rsidRPr="00D2026E" w:rsidRDefault="00D2026E" w:rsidP="00D2026E">
            <w:pPr>
              <w:tabs>
                <w:tab w:val="left" w:pos="4253"/>
                <w:tab w:val="left" w:pos="4962"/>
                <w:tab w:val="left" w:pos="5245"/>
              </w:tabs>
              <w:spacing w:line="276" w:lineRule="auto"/>
              <w:jc w:val="center"/>
              <w:rPr>
                <w:rFonts w:asciiTheme="majorHAnsi" w:hAnsiTheme="majorHAnsi"/>
                <w:sz w:val="20"/>
              </w:rPr>
            </w:pPr>
            <w:r w:rsidRPr="00D2026E">
              <w:rPr>
                <w:rFonts w:asciiTheme="majorHAnsi" w:eastAsia="Cambria" w:hAnsiTheme="majorHAnsi"/>
                <w:sz w:val="20"/>
                <w:szCs w:val="20"/>
              </w:rPr>
              <w:t>Foglio IGM 1:100.000</w:t>
            </w:r>
          </w:p>
        </w:tc>
        <w:tc>
          <w:tcPr>
            <w:tcW w:w="4415" w:type="dxa"/>
          </w:tcPr>
          <w:p w:rsidR="00D2026E" w:rsidRPr="00D2026E" w:rsidRDefault="00D2026E" w:rsidP="00D2026E">
            <w:pPr>
              <w:suppressAutoHyphens w:val="0"/>
              <w:autoSpaceDE w:val="0"/>
              <w:autoSpaceDN w:val="0"/>
              <w:adjustRightInd w:val="0"/>
              <w:jc w:val="center"/>
              <w:rPr>
                <w:rFonts w:asciiTheme="majorHAnsi" w:eastAsia="Cambria" w:hAnsiTheme="majorHAnsi"/>
                <w:sz w:val="20"/>
                <w:szCs w:val="20"/>
              </w:rPr>
            </w:pPr>
            <w:r w:rsidRPr="00D2026E">
              <w:rPr>
                <w:rFonts w:asciiTheme="majorHAnsi" w:eastAsia="Cambria" w:hAnsiTheme="majorHAnsi"/>
                <w:sz w:val="20"/>
                <w:szCs w:val="20"/>
              </w:rPr>
              <w:t>189</w:t>
            </w:r>
          </w:p>
        </w:tc>
      </w:tr>
      <w:tr w:rsidR="00D2026E" w:rsidRPr="00D2026E" w:rsidTr="00D2026E">
        <w:tc>
          <w:tcPr>
            <w:tcW w:w="4414" w:type="dxa"/>
          </w:tcPr>
          <w:p w:rsidR="00D2026E" w:rsidRPr="00D2026E" w:rsidRDefault="00D2026E" w:rsidP="00D2026E">
            <w:pPr>
              <w:tabs>
                <w:tab w:val="left" w:pos="4253"/>
                <w:tab w:val="left" w:pos="4962"/>
                <w:tab w:val="left" w:pos="5245"/>
              </w:tabs>
              <w:spacing w:line="276" w:lineRule="auto"/>
              <w:jc w:val="center"/>
              <w:rPr>
                <w:rFonts w:asciiTheme="majorHAnsi" w:hAnsiTheme="majorHAnsi"/>
                <w:sz w:val="20"/>
              </w:rPr>
            </w:pPr>
            <w:r w:rsidRPr="00D2026E">
              <w:rPr>
                <w:rFonts w:asciiTheme="majorHAnsi" w:eastAsia="Cambria" w:hAnsiTheme="majorHAnsi"/>
                <w:sz w:val="20"/>
                <w:szCs w:val="20"/>
              </w:rPr>
              <w:t>Tavoletta IGM 1:25.000</w:t>
            </w:r>
          </w:p>
        </w:tc>
        <w:tc>
          <w:tcPr>
            <w:tcW w:w="4415" w:type="dxa"/>
          </w:tcPr>
          <w:p w:rsidR="00D2026E" w:rsidRPr="00D2026E" w:rsidRDefault="00D2026E" w:rsidP="00D2026E">
            <w:pPr>
              <w:suppressAutoHyphens w:val="0"/>
              <w:autoSpaceDE w:val="0"/>
              <w:autoSpaceDN w:val="0"/>
              <w:adjustRightInd w:val="0"/>
              <w:jc w:val="center"/>
              <w:rPr>
                <w:rFonts w:asciiTheme="majorHAnsi" w:eastAsia="Cambria" w:hAnsiTheme="majorHAnsi"/>
                <w:sz w:val="20"/>
                <w:szCs w:val="20"/>
              </w:rPr>
            </w:pPr>
            <w:r w:rsidRPr="00D2026E">
              <w:rPr>
                <w:rFonts w:asciiTheme="majorHAnsi" w:eastAsia="Cambria" w:hAnsiTheme="majorHAnsi"/>
                <w:sz w:val="20"/>
                <w:szCs w:val="20"/>
              </w:rPr>
              <w:t>189-III-NE, 189-III-SE</w:t>
            </w:r>
          </w:p>
        </w:tc>
      </w:tr>
      <w:tr w:rsidR="00D2026E" w:rsidRPr="00D2026E" w:rsidTr="00D2026E">
        <w:tc>
          <w:tcPr>
            <w:tcW w:w="4414" w:type="dxa"/>
          </w:tcPr>
          <w:p w:rsidR="00D2026E" w:rsidRPr="00D2026E" w:rsidRDefault="00D2026E" w:rsidP="00D2026E">
            <w:pPr>
              <w:tabs>
                <w:tab w:val="left" w:pos="4253"/>
                <w:tab w:val="left" w:pos="4962"/>
                <w:tab w:val="left" w:pos="5245"/>
              </w:tabs>
              <w:spacing w:line="276" w:lineRule="auto"/>
              <w:jc w:val="center"/>
              <w:rPr>
                <w:rFonts w:asciiTheme="majorHAnsi" w:hAnsiTheme="majorHAnsi"/>
                <w:sz w:val="20"/>
              </w:rPr>
            </w:pPr>
            <w:r w:rsidRPr="00D2026E">
              <w:rPr>
                <w:rFonts w:asciiTheme="majorHAnsi" w:eastAsia="Cambria" w:hAnsiTheme="majorHAnsi"/>
                <w:sz w:val="20"/>
                <w:szCs w:val="20"/>
              </w:rPr>
              <w:t>Sezioni CTR 1:10.000</w:t>
            </w:r>
          </w:p>
        </w:tc>
        <w:tc>
          <w:tcPr>
            <w:tcW w:w="4415" w:type="dxa"/>
          </w:tcPr>
          <w:p w:rsidR="00D2026E" w:rsidRPr="00D2026E" w:rsidRDefault="00D2026E" w:rsidP="00D2026E">
            <w:pPr>
              <w:tabs>
                <w:tab w:val="left" w:pos="4253"/>
                <w:tab w:val="left" w:pos="4962"/>
                <w:tab w:val="left" w:pos="5245"/>
              </w:tabs>
              <w:spacing w:line="276" w:lineRule="auto"/>
              <w:jc w:val="center"/>
              <w:rPr>
                <w:rFonts w:asciiTheme="majorHAnsi" w:hAnsiTheme="majorHAnsi"/>
                <w:sz w:val="20"/>
              </w:rPr>
            </w:pPr>
            <w:r w:rsidRPr="00D2026E">
              <w:rPr>
                <w:rFonts w:asciiTheme="majorHAnsi" w:eastAsia="Cambria" w:hAnsiTheme="majorHAnsi"/>
                <w:sz w:val="20"/>
                <w:szCs w:val="20"/>
              </w:rPr>
              <w:t>472040, 472080</w:t>
            </w:r>
          </w:p>
        </w:tc>
      </w:tr>
    </w:tbl>
    <w:p w:rsidR="00D2026E" w:rsidRPr="00D2026E" w:rsidRDefault="00D2026E">
      <w:pPr>
        <w:tabs>
          <w:tab w:val="left" w:pos="4253"/>
          <w:tab w:val="left" w:pos="4962"/>
          <w:tab w:val="left" w:pos="5245"/>
        </w:tabs>
        <w:spacing w:line="276" w:lineRule="auto"/>
        <w:jc w:val="both"/>
        <w:rPr>
          <w:rFonts w:asciiTheme="majorHAnsi" w:hAnsiTheme="majorHAnsi"/>
          <w:sz w:val="20"/>
        </w:rPr>
      </w:pPr>
    </w:p>
    <w:p w:rsidR="00D2026E" w:rsidRDefault="00D2026E" w:rsidP="00D2026E">
      <w:pPr>
        <w:tabs>
          <w:tab w:val="left" w:pos="4253"/>
          <w:tab w:val="left" w:pos="4962"/>
          <w:tab w:val="left" w:pos="5245"/>
        </w:tabs>
        <w:spacing w:line="276" w:lineRule="auto"/>
        <w:jc w:val="center"/>
        <w:rPr>
          <w:rFonts w:asciiTheme="majorHAnsi" w:eastAsia="Cambria" w:hAnsiTheme="majorHAnsi"/>
          <w:b/>
          <w:bCs/>
          <w:color w:val="0F243E" w:themeColor="text2" w:themeShade="80"/>
        </w:rPr>
      </w:pPr>
      <w:r>
        <w:rPr>
          <w:rFonts w:asciiTheme="majorHAnsi" w:eastAsia="Cambria" w:hAnsiTheme="majorHAnsi"/>
          <w:b/>
          <w:bCs/>
          <w:color w:val="0F243E" w:themeColor="text2" w:themeShade="80"/>
        </w:rPr>
        <w:t>INQUADRAMDENTO TERRITORIALE</w:t>
      </w:r>
    </w:p>
    <w:p w:rsidR="00D2026E" w:rsidRPr="00D2026E" w:rsidRDefault="00D2026E" w:rsidP="00D2026E">
      <w:pPr>
        <w:tabs>
          <w:tab w:val="left" w:pos="4253"/>
          <w:tab w:val="left" w:pos="4962"/>
          <w:tab w:val="left" w:pos="5245"/>
        </w:tabs>
        <w:spacing w:line="276" w:lineRule="auto"/>
        <w:jc w:val="center"/>
        <w:rPr>
          <w:rFonts w:asciiTheme="majorHAnsi" w:eastAsia="Cambria" w:hAnsiTheme="majorHAnsi"/>
          <w:b/>
          <w:bCs/>
          <w:color w:val="0F243E" w:themeColor="text2" w:themeShade="80"/>
        </w:rPr>
      </w:pPr>
    </w:p>
    <w:p w:rsidR="00D2026E" w:rsidRPr="00D2026E" w:rsidRDefault="00D2026E" w:rsidP="00564122">
      <w:pPr>
        <w:tabs>
          <w:tab w:val="left" w:pos="4253"/>
          <w:tab w:val="left" w:pos="4962"/>
          <w:tab w:val="left" w:pos="5245"/>
        </w:tabs>
        <w:spacing w:line="276" w:lineRule="auto"/>
        <w:jc w:val="center"/>
        <w:rPr>
          <w:rFonts w:asciiTheme="majorHAnsi" w:hAnsiTheme="majorHAnsi"/>
          <w:sz w:val="20"/>
        </w:rPr>
      </w:pPr>
      <w:r w:rsidRPr="00D2026E">
        <w:rPr>
          <w:rFonts w:asciiTheme="majorHAnsi" w:hAnsiTheme="majorHAnsi"/>
          <w:noProof/>
          <w:sz w:val="20"/>
        </w:rPr>
        <w:drawing>
          <wp:inline distT="0" distB="0" distL="0" distR="0">
            <wp:extent cx="5193157" cy="3420000"/>
            <wp:effectExtent l="0" t="0" r="7620" b="9525"/>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5193157" cy="3420000"/>
                    </a:xfrm>
                    <a:prstGeom prst="rect">
                      <a:avLst/>
                    </a:prstGeom>
                  </pic:spPr>
                </pic:pic>
              </a:graphicData>
            </a:graphic>
          </wp:inline>
        </w:drawing>
      </w:r>
    </w:p>
    <w:p w:rsidR="00D2026E" w:rsidRDefault="00D2026E">
      <w:pPr>
        <w:tabs>
          <w:tab w:val="left" w:pos="4253"/>
          <w:tab w:val="left" w:pos="4962"/>
          <w:tab w:val="left" w:pos="5245"/>
        </w:tabs>
        <w:spacing w:line="276" w:lineRule="auto"/>
        <w:jc w:val="both"/>
        <w:rPr>
          <w:rFonts w:asciiTheme="majorHAnsi" w:hAnsiTheme="majorHAnsi"/>
          <w:sz w:val="20"/>
        </w:rPr>
      </w:pPr>
    </w:p>
    <w:p w:rsidR="00D2026E" w:rsidRDefault="00D2026E">
      <w:pPr>
        <w:tabs>
          <w:tab w:val="left" w:pos="4253"/>
          <w:tab w:val="left" w:pos="4962"/>
          <w:tab w:val="left" w:pos="5245"/>
        </w:tabs>
        <w:spacing w:line="276" w:lineRule="auto"/>
        <w:jc w:val="both"/>
        <w:rPr>
          <w:rFonts w:asciiTheme="majorHAnsi" w:hAnsiTheme="majorHAnsi"/>
          <w:sz w:val="20"/>
        </w:rPr>
      </w:pPr>
    </w:p>
    <w:p w:rsidR="00C24F6B" w:rsidRDefault="00C24F6B" w:rsidP="00C24F6B">
      <w:pPr>
        <w:tabs>
          <w:tab w:val="left" w:pos="4253"/>
          <w:tab w:val="left" w:pos="4962"/>
          <w:tab w:val="left" w:pos="5245"/>
        </w:tabs>
        <w:spacing w:line="276" w:lineRule="auto"/>
        <w:jc w:val="center"/>
        <w:rPr>
          <w:rFonts w:asciiTheme="majorHAnsi" w:eastAsia="Cambria" w:hAnsiTheme="majorHAnsi"/>
          <w:b/>
          <w:bCs/>
          <w:color w:val="0F243E" w:themeColor="text2" w:themeShade="80"/>
        </w:rPr>
      </w:pPr>
      <w:r>
        <w:rPr>
          <w:rFonts w:asciiTheme="majorHAnsi" w:eastAsia="Cambria" w:hAnsiTheme="majorHAnsi"/>
          <w:b/>
          <w:bCs/>
          <w:color w:val="0F243E" w:themeColor="text2" w:themeShade="80"/>
        </w:rPr>
        <w:t>COMMENTI TECNICO-SCIENTIFICI</w:t>
      </w:r>
    </w:p>
    <w:p w:rsidR="00C24F6B" w:rsidRDefault="00C24F6B" w:rsidP="00C24F6B">
      <w:pPr>
        <w:tabs>
          <w:tab w:val="left" w:pos="4253"/>
          <w:tab w:val="left" w:pos="4962"/>
          <w:tab w:val="left" w:pos="5245"/>
        </w:tabs>
        <w:spacing w:line="276" w:lineRule="auto"/>
        <w:jc w:val="both"/>
        <w:rPr>
          <w:rFonts w:asciiTheme="majorHAnsi" w:eastAsia="Cambria" w:hAnsiTheme="majorHAnsi"/>
          <w:b/>
          <w:bCs/>
          <w:color w:val="0F243E" w:themeColor="text2" w:themeShade="80"/>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333399"/>
        <w:tblLayout w:type="fixed"/>
        <w:tblLook w:val="01E0" w:firstRow="1" w:lastRow="1" w:firstColumn="1" w:lastColumn="1" w:noHBand="0" w:noVBand="0"/>
      </w:tblPr>
      <w:tblGrid>
        <w:gridCol w:w="2943"/>
        <w:gridCol w:w="6266"/>
      </w:tblGrid>
      <w:tr w:rsidR="00C24F6B" w:rsidTr="00C24F6B">
        <w:trPr>
          <w:trHeight w:val="567"/>
        </w:trPr>
        <w:tc>
          <w:tcPr>
            <w:tcW w:w="2943" w:type="dxa"/>
            <w:shd w:val="clear" w:color="auto" w:fill="333399"/>
            <w:vAlign w:val="center"/>
          </w:tcPr>
          <w:p w:rsidR="00C24F6B" w:rsidRDefault="00C24F6B" w:rsidP="00C24F6B">
            <w:pPr>
              <w:pStyle w:val="LABELOBBLIGATORI"/>
              <w:jc w:val="center"/>
            </w:pPr>
            <w:bookmarkStart w:id="0" w:name="_Toc95888516"/>
            <w:bookmarkStart w:id="1" w:name="_Toc95901888"/>
            <w:r>
              <w:t>AMBITI TEMATICI</w:t>
            </w:r>
          </w:p>
        </w:tc>
        <w:tc>
          <w:tcPr>
            <w:tcW w:w="6266" w:type="dxa"/>
            <w:shd w:val="clear" w:color="auto" w:fill="B8CCE4" w:themeFill="accent1" w:themeFillTint="66"/>
            <w:vAlign w:val="center"/>
          </w:tcPr>
          <w:p w:rsidR="00C24F6B" w:rsidRDefault="00C24F6B" w:rsidP="00C24F6B">
            <w:pPr>
              <w:pStyle w:val="LABELOBBLIGATORI"/>
              <w:jc w:val="center"/>
            </w:pPr>
            <w:r w:rsidRPr="00C24F6B">
              <w:rPr>
                <w:color w:val="0F243E" w:themeColor="text2" w:themeShade="80"/>
              </w:rPr>
              <w:t>COMMENTI</w:t>
            </w:r>
          </w:p>
        </w:tc>
      </w:tr>
      <w:tr w:rsidR="00B9505A" w:rsidTr="00C24F6B">
        <w:trPr>
          <w:trHeight w:val="567"/>
        </w:trPr>
        <w:tc>
          <w:tcPr>
            <w:tcW w:w="2943" w:type="dxa"/>
            <w:vAlign w:val="center"/>
          </w:tcPr>
          <w:p w:rsidR="00B9505A" w:rsidRPr="00C24F6B" w:rsidRDefault="00B9505A" w:rsidP="000318C8">
            <w:pPr>
              <w:pStyle w:val="LABELSEMPLICI"/>
            </w:pPr>
            <w:r>
              <w:lastRenderedPageBreak/>
              <w:t>ASPETTI NORMATIVI E/O CONTRADDITTORI</w:t>
            </w:r>
          </w:p>
        </w:tc>
        <w:tc>
          <w:tcPr>
            <w:tcW w:w="6266" w:type="dxa"/>
            <w:shd w:val="clear" w:color="auto" w:fill="FFFFFF"/>
            <w:vAlign w:val="center"/>
          </w:tcPr>
          <w:p w:rsidR="007235F9" w:rsidRPr="00B8772C" w:rsidRDefault="007235F9" w:rsidP="007235F9">
            <w:pPr>
              <w:pStyle w:val="CAMPI"/>
              <w:spacing w:before="0" w:after="0"/>
              <w:jc w:val="both"/>
              <w:rPr>
                <w:bCs/>
              </w:rPr>
            </w:pPr>
            <w:r w:rsidRPr="00B8772C">
              <w:rPr>
                <w:bCs/>
              </w:rPr>
              <w:t xml:space="preserve">In tutto il progetto, si fa riferimento alla  Guida Tecnica n. 29 dell’ISPRA (2014), </w:t>
            </w:r>
            <w:r>
              <w:rPr>
                <w:bCs/>
              </w:rPr>
              <w:t>che</w:t>
            </w:r>
            <w:r w:rsidRPr="00B8772C">
              <w:rPr>
                <w:bCs/>
              </w:rPr>
              <w:t xml:space="preserve"> elenca i “Criteri per la localizzazione di un impianto di smalt</w:t>
            </w:r>
            <w:r w:rsidRPr="00B8772C">
              <w:rPr>
                <w:bCs/>
              </w:rPr>
              <w:t>i</w:t>
            </w:r>
            <w:r w:rsidRPr="00B8772C">
              <w:rPr>
                <w:bCs/>
              </w:rPr>
              <w:t>mento SUPERFICIALE di rifiuti radioattivi a BASSA e MEDIA ATTIVITA’.</w:t>
            </w:r>
          </w:p>
          <w:p w:rsidR="007235F9" w:rsidRDefault="007235F9" w:rsidP="007235F9">
            <w:pPr>
              <w:pStyle w:val="CAMPI"/>
              <w:spacing w:before="0" w:after="0"/>
              <w:jc w:val="both"/>
              <w:rPr>
                <w:bCs/>
              </w:rPr>
            </w:pPr>
            <w:r>
              <w:rPr>
                <w:bCs/>
              </w:rPr>
              <w:t xml:space="preserve">Tuttavia </w:t>
            </w:r>
            <w:r w:rsidRPr="004E63B1">
              <w:rPr>
                <w:b/>
                <w:bCs/>
              </w:rPr>
              <w:t>sul portale</w:t>
            </w:r>
            <w:r w:rsidRPr="00B8772C">
              <w:rPr>
                <w:bCs/>
              </w:rPr>
              <w:t xml:space="preserve"> </w:t>
            </w:r>
            <w:r w:rsidRPr="004E07BE">
              <w:rPr>
                <w:b/>
                <w:bCs/>
              </w:rPr>
              <w:t xml:space="preserve">SOGIN  </w:t>
            </w:r>
            <w:hyperlink r:id="rId10" w:history="1">
              <w:r w:rsidRPr="00B8772C">
                <w:rPr>
                  <w:rStyle w:val="Collegamentoipertestuale"/>
                  <w:bCs/>
                </w:rPr>
                <w:t>www.depositonazionale.it/deposito-nazionale/pagine/che-cose-il-deposito-nazionale.aspx</w:t>
              </w:r>
            </w:hyperlink>
            <w:r w:rsidRPr="004E63B1">
              <w:rPr>
                <w:bCs/>
              </w:rPr>
              <w:t xml:space="preserve"> </w:t>
            </w:r>
          </w:p>
          <w:p w:rsidR="007235F9" w:rsidRDefault="007235F9" w:rsidP="007235F9">
            <w:pPr>
              <w:pStyle w:val="CAMPI"/>
              <w:numPr>
                <w:ilvl w:val="0"/>
                <w:numId w:val="4"/>
              </w:numPr>
              <w:spacing w:before="0" w:after="0"/>
              <w:ind w:left="176" w:hanging="142"/>
              <w:jc w:val="both"/>
              <w:rPr>
                <w:bCs/>
                <w:iCs/>
              </w:rPr>
            </w:pPr>
            <w:r w:rsidRPr="00AD51EA">
              <w:rPr>
                <w:bCs/>
              </w:rPr>
              <w:t xml:space="preserve">alla voce </w:t>
            </w:r>
            <w:r w:rsidRPr="004E07BE">
              <w:rPr>
                <w:b/>
                <w:bCs/>
              </w:rPr>
              <w:t>“Quali e quanti rifiuti radioattivi ospiterà?​”</w:t>
            </w:r>
            <w:r w:rsidRPr="00B8772C">
              <w:rPr>
                <w:bCs/>
              </w:rPr>
              <w:t xml:space="preserve"> si afferma:</w:t>
            </w:r>
            <w:r>
              <w:rPr>
                <w:bCs/>
              </w:rPr>
              <w:t xml:space="preserve"> </w:t>
            </w:r>
            <w:r w:rsidRPr="005C438B">
              <w:rPr>
                <w:b/>
                <w:bCs/>
                <w:iCs/>
                <w:color w:val="FF0000"/>
              </w:rPr>
              <w:t>Nel Deposito Nazionale saranno sistemati definitivamente</w:t>
            </w:r>
            <w:r w:rsidRPr="00B8772C">
              <w:rPr>
                <w:bCs/>
                <w:iCs/>
              </w:rPr>
              <w:t xml:space="preserve"> e in sicure</w:t>
            </w:r>
            <w:r w:rsidRPr="00B8772C">
              <w:rPr>
                <w:bCs/>
                <w:iCs/>
              </w:rPr>
              <w:t>z</w:t>
            </w:r>
            <w:r w:rsidRPr="00B8772C">
              <w:rPr>
                <w:bCs/>
                <w:iCs/>
              </w:rPr>
              <w:t>za </w:t>
            </w:r>
            <w:r w:rsidRPr="00B8772C">
              <w:rPr>
                <w:b/>
                <w:bCs/>
                <w:iCs/>
              </w:rPr>
              <w:t>circa 78.000 metri cubi</w:t>
            </w:r>
            <w:r w:rsidRPr="00B8772C">
              <w:rPr>
                <w:bCs/>
                <w:iCs/>
              </w:rPr>
              <w:t> </w:t>
            </w:r>
            <w:r w:rsidRPr="00B8772C">
              <w:rPr>
                <w:b/>
                <w:bCs/>
                <w:iCs/>
              </w:rPr>
              <w:t xml:space="preserve">di </w:t>
            </w:r>
            <w:r w:rsidRPr="005C438B">
              <w:rPr>
                <w:b/>
                <w:bCs/>
                <w:iCs/>
                <w:color w:val="FF0000"/>
              </w:rPr>
              <w:t xml:space="preserve">rifiuti radioattivi a molto bassa e bassa attività, la cui radioattività decade </w:t>
            </w:r>
            <w:r w:rsidRPr="00A83C68">
              <w:rPr>
                <w:b/>
                <w:bCs/>
                <w:iCs/>
                <w:color w:val="FF0000"/>
              </w:rPr>
              <w:t>a valori trascurabili nell’arco di</w:t>
            </w:r>
            <w:r w:rsidRPr="00A83C68">
              <w:rPr>
                <w:bCs/>
                <w:iCs/>
                <w:color w:val="FF0000"/>
              </w:rPr>
              <w:t> </w:t>
            </w:r>
            <w:r w:rsidRPr="00A83C68">
              <w:rPr>
                <w:b/>
                <w:bCs/>
                <w:iCs/>
                <w:color w:val="FF0000"/>
              </w:rPr>
              <w:t>300 anni</w:t>
            </w:r>
            <w:r w:rsidRPr="00B8772C">
              <w:rPr>
                <w:bCs/>
                <w:iCs/>
              </w:rPr>
              <w:t>…. </w:t>
            </w:r>
            <w:r w:rsidRPr="009D790E">
              <w:rPr>
                <w:b/>
                <w:bCs/>
                <w:iCs/>
                <w:color w:val="FF0000"/>
              </w:rPr>
              <w:t>Inoltre</w:t>
            </w:r>
            <w:r w:rsidRPr="004E07BE">
              <w:rPr>
                <w:b/>
                <w:bCs/>
                <w:iCs/>
              </w:rPr>
              <w:t xml:space="preserve">, nel Deposito Nazionale sarà compreso anche </w:t>
            </w:r>
            <w:r w:rsidRPr="009D790E">
              <w:rPr>
                <w:b/>
                <w:bCs/>
                <w:iCs/>
                <w:color w:val="FF0000"/>
              </w:rPr>
              <w:t>il Complesso Stoccaggio Alta attività (CSA)</w:t>
            </w:r>
            <w:r w:rsidRPr="009D790E">
              <w:rPr>
                <w:bCs/>
                <w:iCs/>
                <w:color w:val="FF0000"/>
              </w:rPr>
              <w:t xml:space="preserve">, </w:t>
            </w:r>
            <w:r w:rsidRPr="009D790E">
              <w:rPr>
                <w:b/>
                <w:bCs/>
                <w:iCs/>
                <w:color w:val="FF0000"/>
              </w:rPr>
              <w:t xml:space="preserve">per </w:t>
            </w:r>
            <w:r w:rsidRPr="00FE60C7">
              <w:rPr>
                <w:b/>
                <w:bCs/>
                <w:iCs/>
                <w:color w:val="FF0000"/>
              </w:rPr>
              <w:t xml:space="preserve">lo stoccaggio di lungo periodo </w:t>
            </w:r>
            <w:r w:rsidRPr="009D790E">
              <w:rPr>
                <w:b/>
                <w:bCs/>
                <w:iCs/>
                <w:color w:val="FF0000"/>
              </w:rPr>
              <w:t>di circa 17.000 metri cubi di rifiuti a media e alta attiv</w:t>
            </w:r>
            <w:r w:rsidRPr="009D790E">
              <w:rPr>
                <w:b/>
                <w:bCs/>
                <w:iCs/>
                <w:color w:val="FF0000"/>
              </w:rPr>
              <w:t>i</w:t>
            </w:r>
            <w:r w:rsidRPr="009D790E">
              <w:rPr>
                <w:b/>
                <w:bCs/>
                <w:iCs/>
                <w:color w:val="FF0000"/>
              </w:rPr>
              <w:t>tà</w:t>
            </w:r>
            <w:r w:rsidRPr="009D790E">
              <w:rPr>
                <w:bCs/>
                <w:iCs/>
                <w:color w:val="FF0000"/>
              </w:rPr>
              <w:t xml:space="preserve">. </w:t>
            </w:r>
            <w:r w:rsidRPr="00B8772C">
              <w:rPr>
                <w:bCs/>
                <w:iCs/>
              </w:rPr>
              <w:t xml:space="preserve">Una minima parte di questi ultimi, </w:t>
            </w:r>
            <w:r w:rsidRPr="00D53874">
              <w:rPr>
                <w:b/>
                <w:bCs/>
                <w:iCs/>
                <w:color w:val="FF0000"/>
              </w:rPr>
              <w:t>circa 400 m</w:t>
            </w:r>
            <w:r w:rsidRPr="00D53874">
              <w:rPr>
                <w:b/>
                <w:bCs/>
                <w:iCs/>
                <w:color w:val="FF0000"/>
                <w:vertAlign w:val="superscript"/>
              </w:rPr>
              <w:t>3</w:t>
            </w:r>
            <w:r w:rsidRPr="00D53874">
              <w:rPr>
                <w:b/>
                <w:bCs/>
                <w:iCs/>
                <w:color w:val="FF0000"/>
              </w:rPr>
              <w:t>, è costituita dai res</w:t>
            </w:r>
            <w:r w:rsidRPr="00D53874">
              <w:rPr>
                <w:b/>
                <w:bCs/>
                <w:iCs/>
                <w:color w:val="FF0000"/>
              </w:rPr>
              <w:t>i</w:t>
            </w:r>
            <w:r w:rsidRPr="00D53874">
              <w:rPr>
                <w:b/>
                <w:bCs/>
                <w:iCs/>
                <w:color w:val="FF0000"/>
              </w:rPr>
              <w:t>dui del riprocessamento del combustibile</w:t>
            </w:r>
            <w:r w:rsidRPr="00D53874">
              <w:rPr>
                <w:bCs/>
                <w:iCs/>
                <w:color w:val="FF0000"/>
              </w:rPr>
              <w:t xml:space="preserve"> </w:t>
            </w:r>
            <w:r w:rsidRPr="00D53874">
              <w:rPr>
                <w:b/>
                <w:bCs/>
                <w:iCs/>
                <w:color w:val="FF0000"/>
              </w:rPr>
              <w:t>effettuato all’estero</w:t>
            </w:r>
            <w:r w:rsidRPr="00D53874">
              <w:rPr>
                <w:bCs/>
                <w:iCs/>
                <w:color w:val="FF0000"/>
              </w:rPr>
              <w:t xml:space="preserve"> </w:t>
            </w:r>
            <w:r w:rsidRPr="00D53874">
              <w:rPr>
                <w:b/>
                <w:bCs/>
                <w:iCs/>
                <w:color w:val="FF0000"/>
              </w:rPr>
              <w:t>e</w:t>
            </w:r>
            <w:r w:rsidRPr="00D53874">
              <w:rPr>
                <w:bCs/>
                <w:iCs/>
                <w:color w:val="FF0000"/>
              </w:rPr>
              <w:t xml:space="preserve"> dal </w:t>
            </w:r>
            <w:r w:rsidRPr="00D53874">
              <w:rPr>
                <w:b/>
                <w:bCs/>
                <w:iCs/>
                <w:color w:val="FF0000"/>
              </w:rPr>
              <w:t>combustibile non riprocessabile</w:t>
            </w:r>
            <w:r w:rsidRPr="00D53874">
              <w:rPr>
                <w:bCs/>
                <w:iCs/>
                <w:color w:val="FF0000"/>
              </w:rPr>
              <w:t xml:space="preserve">. </w:t>
            </w:r>
          </w:p>
          <w:p w:rsidR="007235F9" w:rsidRDefault="007235F9" w:rsidP="007235F9">
            <w:pPr>
              <w:pStyle w:val="CAMPI"/>
              <w:numPr>
                <w:ilvl w:val="0"/>
                <w:numId w:val="4"/>
              </w:numPr>
              <w:spacing w:before="0" w:after="0"/>
              <w:ind w:left="176" w:hanging="142"/>
              <w:jc w:val="both"/>
              <w:rPr>
                <w:b/>
                <w:bCs/>
                <w:iCs/>
              </w:rPr>
            </w:pPr>
            <w:r w:rsidRPr="00AD51EA">
              <w:rPr>
                <w:bCs/>
                <w:iCs/>
              </w:rPr>
              <w:t xml:space="preserve">alla voce </w:t>
            </w:r>
            <w:r w:rsidRPr="004E63B1">
              <w:rPr>
                <w:b/>
                <w:bCs/>
                <w:iCs/>
              </w:rPr>
              <w:t>”Ospiterà anche i rifiuti prodotti in futuro?”</w:t>
            </w:r>
            <w:r>
              <w:rPr>
                <w:bCs/>
                <w:iCs/>
              </w:rPr>
              <w:t xml:space="preserve"> si afferma: </w:t>
            </w:r>
            <w:r w:rsidRPr="004E63B1">
              <w:rPr>
                <w:b/>
                <w:bCs/>
                <w:iCs/>
              </w:rPr>
              <w:t xml:space="preserve">Sì. Il </w:t>
            </w:r>
            <w:r w:rsidRPr="00D53874">
              <w:rPr>
                <w:b/>
                <w:bCs/>
                <w:iCs/>
                <w:color w:val="FF0000"/>
              </w:rPr>
              <w:t xml:space="preserve">Deposito Nazionale è progettato per contenere i rifiuti radioattivi </w:t>
            </w:r>
            <w:r w:rsidRPr="004E63B1">
              <w:rPr>
                <w:b/>
                <w:bCs/>
                <w:iCs/>
              </w:rPr>
              <w:t xml:space="preserve">prodotti finora in Italia e quelli </w:t>
            </w:r>
            <w:r w:rsidRPr="00D53874">
              <w:rPr>
                <w:b/>
                <w:bCs/>
                <w:iCs/>
                <w:color w:val="FF0000"/>
              </w:rPr>
              <w:t xml:space="preserve">che verranno prodotti </w:t>
            </w:r>
            <w:r w:rsidRPr="004E63B1">
              <w:rPr>
                <w:bCs/>
                <w:iCs/>
              </w:rPr>
              <w:t>dallo smante</w:t>
            </w:r>
            <w:r w:rsidRPr="004E63B1">
              <w:rPr>
                <w:bCs/>
                <w:iCs/>
              </w:rPr>
              <w:t>l</w:t>
            </w:r>
            <w:r w:rsidRPr="004E63B1">
              <w:rPr>
                <w:bCs/>
                <w:iCs/>
              </w:rPr>
              <w:t xml:space="preserve">lamento delle installazioni nucleari e dalla medicina, industria e ricerca </w:t>
            </w:r>
            <w:r w:rsidRPr="00D53874">
              <w:rPr>
                <w:b/>
                <w:bCs/>
                <w:iCs/>
                <w:color w:val="FF0000"/>
              </w:rPr>
              <w:t>nei prossimi 50 anni (costruzione ed esercizio).</w:t>
            </w:r>
          </w:p>
          <w:p w:rsidR="00D20864" w:rsidRPr="00D20864" w:rsidRDefault="007235F9" w:rsidP="00215450">
            <w:pPr>
              <w:pStyle w:val="CAMPI"/>
              <w:numPr>
                <w:ilvl w:val="0"/>
                <w:numId w:val="4"/>
              </w:numPr>
              <w:ind w:left="176" w:hanging="142"/>
              <w:jc w:val="both"/>
              <w:rPr>
                <w:b/>
                <w:bCs/>
                <w:color w:val="FF0000"/>
              </w:rPr>
            </w:pPr>
            <w:r w:rsidRPr="00AD51EA">
              <w:rPr>
                <w:bCs/>
                <w:iCs/>
              </w:rPr>
              <w:t>alla voce</w:t>
            </w:r>
            <w:r>
              <w:rPr>
                <w:b/>
                <w:bCs/>
                <w:iCs/>
              </w:rPr>
              <w:t xml:space="preserve"> </w:t>
            </w:r>
            <w:r w:rsidRPr="00AD51EA">
              <w:rPr>
                <w:b/>
                <w:bCs/>
                <w:iCs/>
              </w:rPr>
              <w:t>“Come saranno stoccati i rifiuti a media ed alta attività?”</w:t>
            </w:r>
            <w:r>
              <w:rPr>
                <w:bCs/>
                <w:iCs/>
              </w:rPr>
              <w:t xml:space="preserve"> si afferma: </w:t>
            </w:r>
            <w:r w:rsidRPr="00D46915">
              <w:rPr>
                <w:b/>
                <w:bCs/>
                <w:iCs/>
              </w:rPr>
              <w:t>In attesa della disponibilità di un deposito geologico, i rifiuti a</w:t>
            </w:r>
            <w:r w:rsidRPr="00D46915">
              <w:rPr>
                <w:bCs/>
                <w:iCs/>
              </w:rPr>
              <w:t xml:space="preserve"> </w:t>
            </w:r>
            <w:r w:rsidRPr="00D46915">
              <w:rPr>
                <w:b/>
                <w:bCs/>
                <w:iCs/>
              </w:rPr>
              <w:t xml:space="preserve">media e alta attività saranno stoccati in sicurezza all’interno di una diversa struttura </w:t>
            </w:r>
            <w:r w:rsidRPr="00FE60C7">
              <w:rPr>
                <w:b/>
                <w:bCs/>
                <w:iCs/>
                <w:color w:val="FF0000"/>
              </w:rPr>
              <w:t>di deposito temporaneo</w:t>
            </w:r>
            <w:r w:rsidRPr="00D46915">
              <w:rPr>
                <w:b/>
                <w:bCs/>
                <w:iCs/>
              </w:rPr>
              <w:t>,</w:t>
            </w:r>
            <w:r w:rsidRPr="00D46915">
              <w:rPr>
                <w:bCs/>
                <w:iCs/>
              </w:rPr>
              <w:t xml:space="preserve"> denominata </w:t>
            </w:r>
            <w:r w:rsidRPr="00D46915">
              <w:rPr>
                <w:b/>
                <w:bCs/>
                <w:iCs/>
              </w:rPr>
              <w:t>CSA</w:t>
            </w:r>
            <w:r w:rsidRPr="00D46915">
              <w:rPr>
                <w:bCs/>
                <w:iCs/>
              </w:rPr>
              <w:t xml:space="preserve">, Complesso Stoccaggio Alta attività, </w:t>
            </w:r>
            <w:r w:rsidRPr="009E4053">
              <w:rPr>
                <w:b/>
                <w:bCs/>
                <w:iCs/>
                <w:color w:val="FF0000"/>
              </w:rPr>
              <w:t>collocata sullo stesso sito del Deposito Nazionale</w:t>
            </w:r>
            <w:r w:rsidRPr="00D46915">
              <w:rPr>
                <w:bCs/>
                <w:iCs/>
              </w:rPr>
              <w:t>. I residui radioattivi e i materiali nucleari a media e alta attività saranno stoccati in appositi contenitori altamente scherma</w:t>
            </w:r>
            <w:r w:rsidRPr="00D46915">
              <w:rPr>
                <w:bCs/>
                <w:iCs/>
              </w:rPr>
              <w:t>n</w:t>
            </w:r>
            <w:r w:rsidRPr="00D46915">
              <w:rPr>
                <w:bCs/>
                <w:iCs/>
              </w:rPr>
              <w:t>ti, quali ad esempio i cask, specifici contenitori qualificati al trasporto e a</w:t>
            </w:r>
            <w:r w:rsidRPr="00D46915">
              <w:rPr>
                <w:bCs/>
                <w:iCs/>
              </w:rPr>
              <w:t>l</w:t>
            </w:r>
            <w:r w:rsidRPr="00D46915">
              <w:rPr>
                <w:bCs/>
                <w:iCs/>
              </w:rPr>
              <w:t>lo stoccaggio, capaci di resistere a sollecitazioni estreme sia meccaniche che termiche (urto e incendio). </w:t>
            </w:r>
          </w:p>
          <w:p w:rsidR="00A94660" w:rsidRDefault="007235F9" w:rsidP="00D20864">
            <w:pPr>
              <w:pStyle w:val="CAMPI"/>
              <w:ind w:left="34"/>
              <w:jc w:val="both"/>
              <w:rPr>
                <w:b/>
                <w:bCs/>
                <w:iCs/>
                <w:color w:val="FF0000"/>
              </w:rPr>
            </w:pPr>
            <w:r w:rsidRPr="00D46915">
              <w:rPr>
                <w:bCs/>
                <w:iCs/>
                <w:color w:val="FF0000"/>
              </w:rPr>
              <w:t>Osservazion</w:t>
            </w:r>
            <w:r w:rsidR="00D20864">
              <w:rPr>
                <w:bCs/>
                <w:iCs/>
                <w:color w:val="FF0000"/>
              </w:rPr>
              <w:t>i</w:t>
            </w:r>
            <w:r w:rsidRPr="00D46915">
              <w:rPr>
                <w:bCs/>
                <w:iCs/>
                <w:color w:val="FF0000"/>
              </w:rPr>
              <w:t xml:space="preserve">: </w:t>
            </w:r>
            <w:r w:rsidR="00A94660">
              <w:rPr>
                <w:b/>
                <w:bCs/>
                <w:color w:val="FF0000"/>
              </w:rPr>
              <w:t>Da un punto di vista normativo la</w:t>
            </w:r>
            <w:r w:rsidR="00A94660" w:rsidRPr="00D46915">
              <w:rPr>
                <w:b/>
                <w:bCs/>
                <w:iCs/>
                <w:color w:val="FF0000"/>
              </w:rPr>
              <w:t xml:space="preserve"> </w:t>
            </w:r>
            <w:r w:rsidR="00A94660">
              <w:rPr>
                <w:b/>
                <w:bCs/>
                <w:color w:val="FF0000"/>
              </w:rPr>
              <w:t>procedura di localizz</w:t>
            </w:r>
            <w:r w:rsidR="00A94660">
              <w:rPr>
                <w:b/>
                <w:bCs/>
                <w:color w:val="FF0000"/>
              </w:rPr>
              <w:t>a</w:t>
            </w:r>
            <w:r w:rsidR="00A94660">
              <w:rPr>
                <w:b/>
                <w:bCs/>
                <w:color w:val="FF0000"/>
              </w:rPr>
              <w:t>zione e la relativa CNAPI sono inconferenti in q</w:t>
            </w:r>
            <w:r w:rsidR="00562582">
              <w:rPr>
                <w:b/>
                <w:bCs/>
                <w:color w:val="FF0000"/>
              </w:rPr>
              <w:t>uanto basate sulle i</w:t>
            </w:r>
            <w:r w:rsidR="00562582">
              <w:rPr>
                <w:b/>
                <w:bCs/>
                <w:color w:val="FF0000"/>
              </w:rPr>
              <w:t>n</w:t>
            </w:r>
            <w:r w:rsidR="00562582">
              <w:rPr>
                <w:b/>
                <w:bCs/>
                <w:color w:val="FF0000"/>
              </w:rPr>
              <w:t xml:space="preserve">dicazioni </w:t>
            </w:r>
            <w:r w:rsidR="00562582" w:rsidRPr="00562582">
              <w:rPr>
                <w:b/>
                <w:bCs/>
                <w:iCs/>
                <w:color w:val="FF0000"/>
              </w:rPr>
              <w:t>del</w:t>
            </w:r>
            <w:r w:rsidR="00562582" w:rsidRPr="00562582">
              <w:rPr>
                <w:b/>
                <w:bCs/>
                <w:color w:val="FF0000"/>
              </w:rPr>
              <w:t xml:space="preserve">la Guida Tecnica ISPRA n. 29 </w:t>
            </w:r>
            <w:r w:rsidR="00562582">
              <w:rPr>
                <w:b/>
                <w:bCs/>
                <w:color w:val="FF0000"/>
              </w:rPr>
              <w:t xml:space="preserve">che </w:t>
            </w:r>
            <w:r w:rsidR="00562582" w:rsidRPr="00562582">
              <w:rPr>
                <w:b/>
                <w:bCs/>
                <w:color w:val="FF0000"/>
              </w:rPr>
              <w:t>non nascono e non s</w:t>
            </w:r>
            <w:r w:rsidR="00562582" w:rsidRPr="00562582">
              <w:rPr>
                <w:b/>
                <w:bCs/>
                <w:color w:val="FF0000"/>
              </w:rPr>
              <w:t>o</w:t>
            </w:r>
            <w:r w:rsidR="00562582" w:rsidRPr="00562582">
              <w:rPr>
                <w:b/>
                <w:bCs/>
                <w:color w:val="FF0000"/>
              </w:rPr>
              <w:t>no idonee per valutare la localizzazione di rifiuti ad ALTA ATTIVITÁ.</w:t>
            </w:r>
          </w:p>
          <w:p w:rsidR="00B9505A" w:rsidRDefault="007235F9" w:rsidP="00D20864">
            <w:pPr>
              <w:pStyle w:val="CAMPI"/>
              <w:ind w:left="34"/>
              <w:jc w:val="both"/>
              <w:rPr>
                <w:b/>
                <w:bCs/>
                <w:color w:val="FF0000"/>
              </w:rPr>
            </w:pPr>
            <w:r w:rsidRPr="00D46915">
              <w:rPr>
                <w:b/>
                <w:bCs/>
                <w:iCs/>
                <w:color w:val="FF0000"/>
              </w:rPr>
              <w:t>A parte la contraddittorietà esistente fra le definizioni “</w:t>
            </w:r>
            <w:r>
              <w:rPr>
                <w:b/>
                <w:bCs/>
                <w:iCs/>
                <w:color w:val="FF0000"/>
              </w:rPr>
              <w:t>stoccaggio di lungo</w:t>
            </w:r>
            <w:r w:rsidRPr="00D46915">
              <w:rPr>
                <w:b/>
                <w:bCs/>
                <w:iCs/>
                <w:color w:val="FF0000"/>
              </w:rPr>
              <w:t xml:space="preserve"> periodo” e “</w:t>
            </w:r>
            <w:r>
              <w:rPr>
                <w:b/>
                <w:bCs/>
                <w:iCs/>
                <w:color w:val="FF0000"/>
              </w:rPr>
              <w:t xml:space="preserve">deposito </w:t>
            </w:r>
            <w:r w:rsidRPr="00D46915">
              <w:rPr>
                <w:b/>
                <w:bCs/>
                <w:iCs/>
                <w:color w:val="FF0000"/>
              </w:rPr>
              <w:t>temporaneo”</w:t>
            </w:r>
            <w:r>
              <w:rPr>
                <w:b/>
                <w:bCs/>
                <w:iCs/>
                <w:color w:val="FF0000"/>
              </w:rPr>
              <w:t xml:space="preserve"> si può concludere, in rifer</w:t>
            </w:r>
            <w:r>
              <w:rPr>
                <w:b/>
                <w:bCs/>
                <w:iCs/>
                <w:color w:val="FF0000"/>
              </w:rPr>
              <w:t>i</w:t>
            </w:r>
            <w:r>
              <w:rPr>
                <w:b/>
                <w:bCs/>
                <w:iCs/>
                <w:color w:val="FF0000"/>
              </w:rPr>
              <w:t xml:space="preserve">mento alle NTC,  che la vita nominale dell’opera è come minimo </w:t>
            </w:r>
            <w:r w:rsidR="00562582">
              <w:rPr>
                <w:b/>
                <w:bCs/>
                <w:iCs/>
                <w:color w:val="FF0000"/>
              </w:rPr>
              <w:t xml:space="preserve">        </w:t>
            </w:r>
            <w:r>
              <w:rPr>
                <w:b/>
                <w:bCs/>
                <w:iCs/>
                <w:color w:val="FF0000"/>
              </w:rPr>
              <w:t>Vn =</w:t>
            </w:r>
            <w:r w:rsidR="00562582">
              <w:rPr>
                <w:b/>
                <w:bCs/>
                <w:iCs/>
                <w:color w:val="FF0000"/>
              </w:rPr>
              <w:t xml:space="preserve"> </w:t>
            </w:r>
            <w:r>
              <w:rPr>
                <w:b/>
                <w:bCs/>
                <w:iCs/>
                <w:color w:val="FF0000"/>
              </w:rPr>
              <w:t xml:space="preserve">350. </w:t>
            </w:r>
            <w:r w:rsidRPr="00D46915">
              <w:rPr>
                <w:b/>
                <w:bCs/>
                <w:iCs/>
                <w:color w:val="FF0000"/>
              </w:rPr>
              <w:t xml:space="preserve"> </w:t>
            </w:r>
          </w:p>
          <w:p w:rsidR="00F006FA" w:rsidRDefault="00F006FA" w:rsidP="00822D16">
            <w:pPr>
              <w:pStyle w:val="CAMPI"/>
              <w:jc w:val="both"/>
              <w:rPr>
                <w:bCs/>
                <w:szCs w:val="24"/>
              </w:rPr>
            </w:pPr>
            <w:r>
              <w:rPr>
                <w:b/>
                <w:bCs/>
                <w:color w:val="FF0000"/>
              </w:rPr>
              <w:t>Riguardo il criterio di approfondimento CA2., le conclusioni sull’assenza di movimenti orizzontali est-ovest, riportate sulle Rel</w:t>
            </w:r>
            <w:r>
              <w:rPr>
                <w:b/>
                <w:bCs/>
                <w:color w:val="FF0000"/>
              </w:rPr>
              <w:t>a</w:t>
            </w:r>
            <w:r>
              <w:rPr>
                <w:b/>
                <w:bCs/>
                <w:color w:val="FF0000"/>
              </w:rPr>
              <w:t xml:space="preserve">zioni Tecniche delle aree individuate da SOGIN, sono in contrasto con quanto viene affermato </w:t>
            </w:r>
            <w:r w:rsidR="003D05C3" w:rsidRPr="003D05C3">
              <w:rPr>
                <w:b/>
                <w:bCs/>
                <w:color w:val="FF0000"/>
              </w:rPr>
              <w:t xml:space="preserve">nel § 16.2.4 (Risultati e conclusioni) </w:t>
            </w:r>
            <w:r w:rsidR="003D05C3">
              <w:rPr>
                <w:b/>
                <w:bCs/>
                <w:color w:val="FF0000"/>
              </w:rPr>
              <w:t>d</w:t>
            </w:r>
            <w:r w:rsidRPr="00F006FA">
              <w:rPr>
                <w:b/>
                <w:bCs/>
                <w:color w:val="FF0000"/>
              </w:rPr>
              <w:t>ella R</w:t>
            </w:r>
            <w:r w:rsidRPr="00F006FA">
              <w:rPr>
                <w:b/>
                <w:bCs/>
                <w:color w:val="FF0000"/>
              </w:rPr>
              <w:t>e</w:t>
            </w:r>
            <w:r w:rsidRPr="00F006FA">
              <w:rPr>
                <w:b/>
                <w:bCs/>
                <w:color w:val="FF0000"/>
              </w:rPr>
              <w:t xml:space="preserve">lazione Tecnica SOGIN DN GS 00102, Revisione 04 del 30-12-2020 </w:t>
            </w:r>
            <w:r w:rsidRPr="003D05C3">
              <w:rPr>
                <w:bCs/>
                <w:color w:val="FF0000"/>
              </w:rPr>
              <w:t>“B</w:t>
            </w:r>
            <w:r w:rsidRPr="003D05C3">
              <w:rPr>
                <w:bCs/>
                <w:color w:val="FF0000"/>
              </w:rPr>
              <w:t>a</w:t>
            </w:r>
            <w:r w:rsidRPr="003D05C3">
              <w:rPr>
                <w:bCs/>
                <w:color w:val="FF0000"/>
              </w:rPr>
              <w:t>si teoriche e modalità di applicazione dei criteri per la realizzazione della CNAPI”</w:t>
            </w:r>
            <w:r w:rsidRPr="00F006FA">
              <w:rPr>
                <w:b/>
                <w:bCs/>
                <w:color w:val="FF0000"/>
              </w:rPr>
              <w:t>,</w:t>
            </w:r>
            <w:r w:rsidR="00822D16">
              <w:rPr>
                <w:b/>
                <w:bCs/>
                <w:color w:val="FF0000"/>
              </w:rPr>
              <w:t xml:space="preserve"> dove si legge: “…</w:t>
            </w:r>
            <w:r w:rsidR="003D05C3" w:rsidRPr="003D05C3">
              <w:rPr>
                <w:rFonts w:ascii="Times New Roman" w:hAnsi="Times New Roman" w:cs="Arial"/>
                <w:b/>
                <w:color w:val="FF0000"/>
                <w:sz w:val="24"/>
                <w:szCs w:val="18"/>
              </w:rPr>
              <w:t xml:space="preserve"> </w:t>
            </w:r>
            <w:r w:rsidR="003D05C3" w:rsidRPr="003D05C3">
              <w:rPr>
                <w:b/>
                <w:bCs/>
                <w:color w:val="FF0000"/>
              </w:rPr>
              <w:t>della suddetta relazione si riportano i risu</w:t>
            </w:r>
            <w:r w:rsidR="003D05C3" w:rsidRPr="003D05C3">
              <w:rPr>
                <w:b/>
                <w:bCs/>
                <w:color w:val="FF0000"/>
              </w:rPr>
              <w:t>l</w:t>
            </w:r>
            <w:r w:rsidR="003D05C3" w:rsidRPr="003D05C3">
              <w:rPr>
                <w:b/>
                <w:bCs/>
                <w:color w:val="FF0000"/>
              </w:rPr>
              <w:t>tati ottenuti dalla scomposizione (cfr. paragrafo 16.2.3) dei dati asce</w:t>
            </w:r>
            <w:r w:rsidR="003D05C3" w:rsidRPr="003D05C3">
              <w:rPr>
                <w:b/>
                <w:bCs/>
                <w:color w:val="FF0000"/>
              </w:rPr>
              <w:t>n</w:t>
            </w:r>
            <w:r w:rsidR="003D05C3" w:rsidRPr="003D05C3">
              <w:rPr>
                <w:b/>
                <w:bCs/>
                <w:color w:val="FF0000"/>
              </w:rPr>
              <w:t xml:space="preserve">denti e discendenti dei sensori ERS ed ENVISAT. In considerazione della maggiore affidabilità del metodo nel rilevare movimenti di tipo verticale, nonché della localizzazione delle aree, poste in prevalenza in </w:t>
            </w:r>
            <w:r w:rsidR="003D05C3" w:rsidRPr="003D05C3">
              <w:rPr>
                <w:b/>
                <w:bCs/>
                <w:color w:val="FF0000"/>
              </w:rPr>
              <w:lastRenderedPageBreak/>
              <w:t>zone subpianeggianti, i risultati discussi riguardano solo gli spost</w:t>
            </w:r>
            <w:r w:rsidR="003D05C3" w:rsidRPr="003D05C3">
              <w:rPr>
                <w:b/>
                <w:bCs/>
                <w:color w:val="FF0000"/>
              </w:rPr>
              <w:t>a</w:t>
            </w:r>
            <w:r w:rsidR="003D05C3" w:rsidRPr="003D05C3">
              <w:rPr>
                <w:b/>
                <w:bCs/>
                <w:color w:val="FF0000"/>
              </w:rPr>
              <w:t>menti verticali</w:t>
            </w:r>
            <w:r w:rsidR="00822D16">
              <w:rPr>
                <w:b/>
                <w:bCs/>
                <w:color w:val="FF0000"/>
              </w:rPr>
              <w:t>.”</w:t>
            </w:r>
            <w:r w:rsidR="003D05C3" w:rsidRPr="003D05C3">
              <w:rPr>
                <w:b/>
                <w:bCs/>
                <w:color w:val="FF0000"/>
              </w:rPr>
              <w:t>.</w:t>
            </w:r>
            <w:r w:rsidR="003D05C3">
              <w:rPr>
                <w:b/>
                <w:bCs/>
                <w:color w:val="FF0000"/>
              </w:rPr>
              <w:t xml:space="preserve"> </w:t>
            </w:r>
            <w:r w:rsidR="00822D16">
              <w:rPr>
                <w:rFonts w:cs="Arial"/>
                <w:b/>
                <w:bCs/>
                <w:color w:val="FF0000"/>
              </w:rPr>
              <w:t>È</w:t>
            </w:r>
            <w:r w:rsidR="00822D16">
              <w:rPr>
                <w:b/>
                <w:bCs/>
                <w:color w:val="FF0000"/>
              </w:rPr>
              <w:t xml:space="preserve"> chiaro, quindi, che gli studi e le Relazioni Tecniche SOGIN</w:t>
            </w:r>
            <w:r w:rsidRPr="00F006FA">
              <w:rPr>
                <w:b/>
                <w:bCs/>
                <w:color w:val="FF0000"/>
              </w:rPr>
              <w:t xml:space="preserve"> nulla dicono circa i movimenti orizzontali del suolo</w:t>
            </w:r>
            <w:r w:rsidR="00822D16">
              <w:rPr>
                <w:b/>
                <w:bCs/>
                <w:color w:val="FF0000"/>
              </w:rPr>
              <w:t xml:space="preserve"> nelle aree in esame.</w:t>
            </w:r>
          </w:p>
        </w:tc>
      </w:tr>
      <w:bookmarkEnd w:id="0"/>
      <w:bookmarkEnd w:id="1"/>
      <w:tr w:rsidR="00C24F6B" w:rsidTr="00C24F6B">
        <w:trPr>
          <w:trHeight w:val="567"/>
        </w:trPr>
        <w:tc>
          <w:tcPr>
            <w:tcW w:w="2943" w:type="dxa"/>
            <w:vAlign w:val="center"/>
          </w:tcPr>
          <w:p w:rsidR="00C24F6B" w:rsidRDefault="00C24F6B" w:rsidP="00EF762F">
            <w:pPr>
              <w:pStyle w:val="LABELSEMPLICI"/>
            </w:pPr>
            <w:r w:rsidRPr="00C24F6B">
              <w:lastRenderedPageBreak/>
              <w:t xml:space="preserve">INQUADRAMENTO </w:t>
            </w:r>
          </w:p>
          <w:p w:rsidR="00C24F6B" w:rsidRDefault="00C24F6B" w:rsidP="00EF762F">
            <w:pPr>
              <w:pStyle w:val="LABELSEMPLICI"/>
            </w:pPr>
            <w:r w:rsidRPr="00C24F6B">
              <w:t>GEOLOGICO</w:t>
            </w:r>
          </w:p>
        </w:tc>
        <w:tc>
          <w:tcPr>
            <w:tcW w:w="6266" w:type="dxa"/>
            <w:shd w:val="clear" w:color="auto" w:fill="FFFFFF"/>
            <w:vAlign w:val="center"/>
          </w:tcPr>
          <w:p w:rsidR="00C24F6B" w:rsidRDefault="006D26FF" w:rsidP="007C7D4B">
            <w:pPr>
              <w:pStyle w:val="CAMPI"/>
              <w:jc w:val="both"/>
            </w:pPr>
            <w:r>
              <w:rPr>
                <w:bCs/>
                <w:szCs w:val="24"/>
              </w:rPr>
              <w:t>L</w:t>
            </w:r>
            <w:r w:rsidR="004C19EB" w:rsidRPr="00FF4765">
              <w:rPr>
                <w:bCs/>
                <w:szCs w:val="24"/>
              </w:rPr>
              <w:t xml:space="preserve">’inquadramento geologico-stratigrafico delle aree, per quanto come espressamente indicato sia basato su soli dati bibliografici, si fonda su una </w:t>
            </w:r>
            <w:r w:rsidR="004C19EB" w:rsidRPr="00FF4765">
              <w:rPr>
                <w:b/>
                <w:bCs/>
                <w:szCs w:val="24"/>
              </w:rPr>
              <w:t>cartografia (Fogli della Carta Geologica d’Italia) e relative note illustr</w:t>
            </w:r>
            <w:r w:rsidR="004C19EB" w:rsidRPr="00FF4765">
              <w:rPr>
                <w:b/>
                <w:bCs/>
                <w:szCs w:val="24"/>
              </w:rPr>
              <w:t>a</w:t>
            </w:r>
            <w:r w:rsidR="004C19EB" w:rsidRPr="00FF4765">
              <w:rPr>
                <w:b/>
                <w:bCs/>
                <w:szCs w:val="24"/>
              </w:rPr>
              <w:t>tive</w:t>
            </w:r>
            <w:r w:rsidR="004C19EB" w:rsidRPr="00FF4765">
              <w:rPr>
                <w:bCs/>
                <w:szCs w:val="24"/>
              </w:rPr>
              <w:t xml:space="preserve"> (Note illustrative alla Carta Geologica d’Italia Foglio 189 “Altamura”. Serv. Geol. d’Italia, Roma), </w:t>
            </w:r>
            <w:r w:rsidR="004C19EB" w:rsidRPr="005F5656">
              <w:rPr>
                <w:bCs/>
                <w:color w:val="FF0000"/>
                <w:szCs w:val="24"/>
              </w:rPr>
              <w:t>Osservazioni:</w:t>
            </w:r>
            <w:r w:rsidR="004C19EB" w:rsidRPr="005F5656">
              <w:rPr>
                <w:b/>
                <w:bCs/>
                <w:color w:val="FF0000"/>
                <w:szCs w:val="24"/>
              </w:rPr>
              <w:t xml:space="preserve"> </w:t>
            </w:r>
            <w:r w:rsidR="008F4829">
              <w:rPr>
                <w:b/>
                <w:bCs/>
                <w:color w:val="FF0000"/>
                <w:szCs w:val="24"/>
              </w:rPr>
              <w:t>I</w:t>
            </w:r>
            <w:r w:rsidR="004C19EB" w:rsidRPr="005F5656">
              <w:rPr>
                <w:b/>
                <w:bCs/>
                <w:color w:val="FF0000"/>
                <w:szCs w:val="24"/>
              </w:rPr>
              <w:t>l materiale cartografico e b</w:t>
            </w:r>
            <w:r w:rsidR="004C19EB" w:rsidRPr="005F5656">
              <w:rPr>
                <w:b/>
                <w:bCs/>
                <w:color w:val="FF0000"/>
                <w:szCs w:val="24"/>
              </w:rPr>
              <w:t>i</w:t>
            </w:r>
            <w:r w:rsidR="004C19EB" w:rsidRPr="005F5656">
              <w:rPr>
                <w:b/>
                <w:bCs/>
                <w:color w:val="FF0000"/>
                <w:szCs w:val="24"/>
              </w:rPr>
              <w:t>bliografico utilizzato è obsoleto e, peraltro, ad una scala (1:100.000) assolutamente inadeguata per l’eccezionale rilevanza dell’opera in progetto</w:t>
            </w:r>
            <w:r w:rsidR="005F5656" w:rsidRPr="005F5656">
              <w:rPr>
                <w:b/>
                <w:bCs/>
                <w:color w:val="FF0000"/>
                <w:szCs w:val="24"/>
              </w:rPr>
              <w:t>.</w:t>
            </w:r>
          </w:p>
        </w:tc>
      </w:tr>
      <w:tr w:rsidR="00C24F6B" w:rsidTr="00C24F6B">
        <w:trPr>
          <w:trHeight w:val="567"/>
        </w:trPr>
        <w:tc>
          <w:tcPr>
            <w:tcW w:w="2943" w:type="dxa"/>
            <w:vAlign w:val="center"/>
          </w:tcPr>
          <w:p w:rsidR="00C24F6B" w:rsidRDefault="00C24F6B" w:rsidP="00EF762F">
            <w:pPr>
              <w:pStyle w:val="LABELSEMPLICI"/>
            </w:pPr>
            <w:r w:rsidRPr="00C24F6B">
              <w:t xml:space="preserve">INQUADRAMENTO </w:t>
            </w:r>
          </w:p>
          <w:p w:rsidR="00C24F6B" w:rsidRPr="00C24F6B" w:rsidRDefault="00C24F6B" w:rsidP="00EF762F">
            <w:pPr>
              <w:pStyle w:val="LABELSEMPLICI"/>
            </w:pPr>
            <w:r w:rsidRPr="00C24F6B">
              <w:t>GEOMORFOLOGICO</w:t>
            </w:r>
          </w:p>
        </w:tc>
        <w:tc>
          <w:tcPr>
            <w:tcW w:w="6266" w:type="dxa"/>
            <w:shd w:val="clear" w:color="auto" w:fill="FFFFFF"/>
            <w:vAlign w:val="center"/>
          </w:tcPr>
          <w:p w:rsidR="00C24F6B" w:rsidRDefault="00C24F6B" w:rsidP="00084043">
            <w:pPr>
              <w:pStyle w:val="CAMPI"/>
              <w:jc w:val="both"/>
            </w:pPr>
          </w:p>
        </w:tc>
      </w:tr>
      <w:tr w:rsidR="00B14551" w:rsidTr="00C24F6B">
        <w:trPr>
          <w:trHeight w:val="567"/>
        </w:trPr>
        <w:tc>
          <w:tcPr>
            <w:tcW w:w="2943" w:type="dxa"/>
            <w:vAlign w:val="center"/>
          </w:tcPr>
          <w:p w:rsidR="00B14551" w:rsidRPr="00EF36D2" w:rsidRDefault="00375B00" w:rsidP="00375B00">
            <w:pPr>
              <w:pStyle w:val="LABELSEMPLICI"/>
            </w:pPr>
            <w:r w:rsidRPr="00EF36D2">
              <w:lastRenderedPageBreak/>
              <w:t>SISMICITÀ</w:t>
            </w:r>
          </w:p>
          <w:p w:rsidR="00234610" w:rsidRPr="00EF36D2" w:rsidRDefault="00234610" w:rsidP="00375B00">
            <w:pPr>
              <w:pStyle w:val="LABELSEMPLICI"/>
            </w:pPr>
          </w:p>
          <w:p w:rsidR="00234610" w:rsidRPr="00234610" w:rsidRDefault="00234610" w:rsidP="00234610">
            <w:pPr>
              <w:pStyle w:val="LABELSEMPLICI"/>
              <w:rPr>
                <w:color w:val="000000" w:themeColor="text1"/>
              </w:rPr>
            </w:pPr>
          </w:p>
        </w:tc>
        <w:tc>
          <w:tcPr>
            <w:tcW w:w="6266" w:type="dxa"/>
            <w:shd w:val="clear" w:color="auto" w:fill="FFFFFF"/>
            <w:vAlign w:val="center"/>
          </w:tcPr>
          <w:p w:rsidR="00EF3014" w:rsidRPr="003F2451" w:rsidRDefault="00EF3014" w:rsidP="00EF3014">
            <w:pPr>
              <w:pStyle w:val="CAMPI"/>
              <w:jc w:val="both"/>
              <w:rPr>
                <w:color w:val="FF0000"/>
              </w:rPr>
            </w:pPr>
            <w:r w:rsidRPr="003F2451">
              <w:rPr>
                <w:b/>
                <w:bCs/>
                <w:szCs w:val="24"/>
              </w:rPr>
              <w:t>Lo studio SOGIN sulla sismicità è stato svolto solo al 1° livello di a</w:t>
            </w:r>
            <w:r w:rsidRPr="003F2451">
              <w:rPr>
                <w:b/>
                <w:bCs/>
                <w:szCs w:val="24"/>
              </w:rPr>
              <w:t>p</w:t>
            </w:r>
            <w:r w:rsidRPr="003F2451">
              <w:rPr>
                <w:b/>
                <w:bCs/>
                <w:szCs w:val="24"/>
              </w:rPr>
              <w:t>profondimento: Analisi GIS a scala nazionale (vedi Tab. 0/1 nell’elaborato SOGIN - DN GS 00102</w:t>
            </w:r>
            <w:r w:rsidRPr="003F2451">
              <w:rPr>
                <w:bCs/>
                <w:szCs w:val="24"/>
              </w:rPr>
              <w:t xml:space="preserve"> “Basi teoriche e modalità di applic</w:t>
            </w:r>
            <w:r w:rsidRPr="003F2451">
              <w:rPr>
                <w:bCs/>
                <w:szCs w:val="24"/>
              </w:rPr>
              <w:t>a</w:t>
            </w:r>
            <w:r w:rsidRPr="003F2451">
              <w:rPr>
                <w:bCs/>
                <w:szCs w:val="24"/>
              </w:rPr>
              <w:t xml:space="preserve">zione dei criteri per la realizzazione della CNAPI - Revisione 04 del 30-12-2020”). </w:t>
            </w:r>
            <w:r w:rsidRPr="003F2451">
              <w:rPr>
                <w:b/>
              </w:rPr>
              <w:t>Dalle relazioni messe a disposizione dalla SOGIN non ci evince quali siano la classe e il coefficiente  d’uso da adottare per la struttura in progetto ma solamente che la valutazione circa in criterio di escl</w:t>
            </w:r>
            <w:r w:rsidRPr="003F2451">
              <w:rPr>
                <w:b/>
              </w:rPr>
              <w:t>u</w:t>
            </w:r>
            <w:r w:rsidRPr="003F2451">
              <w:rPr>
                <w:b/>
              </w:rPr>
              <w:t>sione CE2 della guida ISPRA n. 29, è stata fatta considerando i valori di PGA adottati dalle Norme Tecniche per le Costruzioni che sono quelli pubblicati da INGV (Istituto Nazionale di Geofisica e Vulcanol</w:t>
            </w:r>
            <w:r w:rsidRPr="003F2451">
              <w:rPr>
                <w:b/>
              </w:rPr>
              <w:t>o</w:t>
            </w:r>
            <w:r w:rsidRPr="003F2451">
              <w:rPr>
                <w:b/>
              </w:rPr>
              <w:t>gia) nella carta di pericolosità sismica. Tale carta riporta i valori calc</w:t>
            </w:r>
            <w:r w:rsidRPr="003F2451">
              <w:rPr>
                <w:b/>
              </w:rPr>
              <w:t>o</w:t>
            </w:r>
            <w:r w:rsidRPr="003F2451">
              <w:rPr>
                <w:b/>
              </w:rPr>
              <w:t>lati mediante una complessa procedura probabilistica che partendo dalla posizione geografica delle “zone sismogenetiche” e dal catalogo dei terremoti, associa i valori di PGA ad un tempo di ritorno, cioè ad una probabilità di superamento in un determinato intervallo di tempo. Più lungo è il tempo di ritorno preso a riferimento, più elevato è il v</w:t>
            </w:r>
            <w:r w:rsidRPr="003F2451">
              <w:rPr>
                <w:b/>
              </w:rPr>
              <w:t>a</w:t>
            </w:r>
            <w:r w:rsidRPr="003F2451">
              <w:rPr>
                <w:b/>
              </w:rPr>
              <w:t>lore di PGA associato. Il criterio CE2 dà come riferimento il valore di 0,25g (g è il valore dell’accelerazione di gravità) per il tempo di ritorno più lungo (2475 anni) disponibile nella carta (valori per tempi di ritorno più elevati richiedono complesse analisi non ancora svolte sull’intero territorio nazionale).</w:t>
            </w:r>
            <w:r w:rsidRPr="003F2451">
              <w:t xml:space="preserve"> </w:t>
            </w:r>
            <w:r w:rsidRPr="003F2451">
              <w:rPr>
                <w:color w:val="FF0000"/>
              </w:rPr>
              <w:t xml:space="preserve">Osservazioni: </w:t>
            </w:r>
            <w:r w:rsidRPr="003F2451">
              <w:rPr>
                <w:b/>
                <w:color w:val="FF0000"/>
              </w:rPr>
              <w:t>Preliminarmente</w:t>
            </w:r>
            <w:r w:rsidRPr="003F2451">
              <w:rPr>
                <w:color w:val="FF0000"/>
              </w:rPr>
              <w:t xml:space="preserve"> </w:t>
            </w:r>
            <w:r w:rsidRPr="003F2451">
              <w:rPr>
                <w:b/>
                <w:bCs/>
                <w:color w:val="FF0000"/>
                <w:szCs w:val="24"/>
              </w:rPr>
              <w:t xml:space="preserve">bisogna rilevare che </w:t>
            </w:r>
            <w:r w:rsidRPr="003F2451">
              <w:rPr>
                <w:b/>
                <w:color w:val="FF0000"/>
              </w:rPr>
              <w:t xml:space="preserve"> benché la circolare 21-1-2019 n. 7 del C.S.LL.P. sulle NTC 2018 sancisca che il carattere strategico di un’opera o la sua rilevanza ai fini della Prot. Civ. sono definiti dalla sua classe d’uso, giusto Decreto del Capo di Gabinetto della Prot. Civ. n. 3685 del 21-10-2003</w:t>
            </w:r>
            <w:r w:rsidRPr="003F2451">
              <w:rPr>
                <w:color w:val="FF0000"/>
              </w:rPr>
              <w:t>. In tal se</w:t>
            </w:r>
            <w:r w:rsidRPr="003F2451">
              <w:rPr>
                <w:color w:val="FF0000"/>
              </w:rPr>
              <w:t>n</w:t>
            </w:r>
            <w:r w:rsidRPr="003F2451">
              <w:rPr>
                <w:color w:val="FF0000"/>
              </w:rPr>
              <w:t xml:space="preserve">so, </w:t>
            </w:r>
            <w:r w:rsidRPr="003F2451">
              <w:rPr>
                <w:b/>
                <w:color w:val="FF0000"/>
              </w:rPr>
              <w:t xml:space="preserve">dalle relazioni </w:t>
            </w:r>
            <w:r w:rsidRPr="003F2451">
              <w:rPr>
                <w:color w:val="FF0000"/>
              </w:rPr>
              <w:t>messe a disposizione dalla</w:t>
            </w:r>
            <w:r w:rsidRPr="003F2451">
              <w:rPr>
                <w:b/>
                <w:color w:val="FF0000"/>
              </w:rPr>
              <w:t xml:space="preserve"> SOGIN non ci evince quali siano la classe e il coefficiente  d’uso da adottare per la struttura in progetto ne tanto meno quale sia la vita nominale che, sulla base di quanto dichiarato sul portale </w:t>
            </w:r>
            <w:hyperlink r:id="rId11" w:history="1">
              <w:r w:rsidRPr="003F2451">
                <w:rPr>
                  <w:rStyle w:val="Collegamentoipertestuale"/>
                  <w:color w:val="FF0000"/>
                </w:rPr>
                <w:t>www.depositonazionale.it/deposito-nazionale/pagine/che-cose-il-deposito-nazionale.aspx</w:t>
              </w:r>
            </w:hyperlink>
            <w:r w:rsidRPr="003F2451">
              <w:rPr>
                <w:color w:val="FF0000"/>
              </w:rPr>
              <w:t>,</w:t>
            </w:r>
            <w:r w:rsidRPr="003F2451">
              <w:rPr>
                <w:b/>
                <w:color w:val="FF0000"/>
              </w:rPr>
              <w:t xml:space="preserve"> si desume possa essere pari a Vn = 300 anni (questa deduzione è tra l’altro in difetto, tenuto conto di quanto ho precisato al precedente punto aspetti no</w:t>
            </w:r>
            <w:r w:rsidRPr="003F2451">
              <w:rPr>
                <w:b/>
                <w:color w:val="FF0000"/>
              </w:rPr>
              <w:t>r</w:t>
            </w:r>
            <w:r w:rsidRPr="003F2451">
              <w:rPr>
                <w:b/>
                <w:color w:val="FF0000"/>
              </w:rPr>
              <w:t>mativi e/o contraddittori). Considerato, quindi, il carattere strategico dell’opera e la sua rilevanza ai fini della Protezione Civile, si ritiene necessario che SOGIN debba procedere, preliminarmente alla definit</w:t>
            </w:r>
            <w:r w:rsidRPr="003F2451">
              <w:rPr>
                <w:b/>
                <w:color w:val="FF0000"/>
              </w:rPr>
              <w:t>i</w:t>
            </w:r>
            <w:r w:rsidRPr="003F2451">
              <w:rPr>
                <w:b/>
                <w:color w:val="FF0000"/>
              </w:rPr>
              <w:t>va determinazione dell’idoneità del sito prescelto, allo svolgimento per i siti potenzialmente individuati delle complesse analisi necessarie per determinare il valore dell’ag attesa in relazione ad un adeguato p</w:t>
            </w:r>
            <w:r w:rsidRPr="003F2451">
              <w:rPr>
                <w:b/>
                <w:color w:val="FF0000"/>
              </w:rPr>
              <w:t>e</w:t>
            </w:r>
            <w:r w:rsidRPr="003F2451">
              <w:rPr>
                <w:b/>
                <w:color w:val="FF0000"/>
              </w:rPr>
              <w:t>riodo di ritorno calcolato in funzione della classe e coefficiente d’uso congruenti con la rilevanza della struttura in progetto</w:t>
            </w:r>
            <w:r w:rsidRPr="003F2451">
              <w:rPr>
                <w:color w:val="FF0000"/>
              </w:rPr>
              <w:t xml:space="preserve">. </w:t>
            </w:r>
            <w:r w:rsidRPr="003F2451">
              <w:rPr>
                <w:b/>
                <w:color w:val="FF0000"/>
              </w:rPr>
              <w:t>Dalla</w:t>
            </w:r>
            <w:r w:rsidRPr="003F2451">
              <w:rPr>
                <w:color w:val="FF0000"/>
              </w:rPr>
              <w:t xml:space="preserve"> suddetta </w:t>
            </w:r>
            <w:r w:rsidRPr="003F2451">
              <w:rPr>
                <w:b/>
                <w:color w:val="FF0000"/>
              </w:rPr>
              <w:t>circolare del C.S.LL.P. n. 7, si evince che per strutture a rischio inc</w:t>
            </w:r>
            <w:r w:rsidRPr="003F2451">
              <w:rPr>
                <w:b/>
                <w:color w:val="FF0000"/>
              </w:rPr>
              <w:t>i</w:t>
            </w:r>
            <w:r w:rsidRPr="003F2451">
              <w:rPr>
                <w:b/>
                <w:color w:val="FF0000"/>
              </w:rPr>
              <w:t>dente rilevante la classe d’uso debba essere almeno la IV con un      Cu= 2.5</w:t>
            </w:r>
            <w:r w:rsidRPr="003F2451">
              <w:rPr>
                <w:color w:val="FF0000"/>
              </w:rPr>
              <w:t xml:space="preserve"> </w:t>
            </w:r>
            <w:r w:rsidRPr="003F2451">
              <w:rPr>
                <w:b/>
                <w:color w:val="FF0000"/>
              </w:rPr>
              <w:t>da cui, ammesso di considerare una vita nominale dell’opera pari al tempo di stoccaggio delle scorie nucleari, che da SOGIN è pr</w:t>
            </w:r>
            <w:r w:rsidRPr="003F2451">
              <w:rPr>
                <w:b/>
                <w:color w:val="FF0000"/>
              </w:rPr>
              <w:t>e</w:t>
            </w:r>
            <w:r w:rsidRPr="003F2451">
              <w:rPr>
                <w:b/>
                <w:color w:val="FF0000"/>
              </w:rPr>
              <w:t>visto in Vn=300 anni,  si</w:t>
            </w:r>
            <w:r w:rsidRPr="003F2451">
              <w:rPr>
                <w:color w:val="FF0000"/>
              </w:rPr>
              <w:t xml:space="preserve"> </w:t>
            </w:r>
            <w:r w:rsidRPr="003F2451">
              <w:rPr>
                <w:b/>
                <w:color w:val="FF0000"/>
              </w:rPr>
              <w:t>ha</w:t>
            </w:r>
            <w:r w:rsidRPr="003F2451">
              <w:rPr>
                <w:color w:val="FF0000"/>
              </w:rPr>
              <w:t xml:space="preserve"> che </w:t>
            </w:r>
            <w:r w:rsidRPr="003F2451">
              <w:rPr>
                <w:b/>
                <w:color w:val="FF0000"/>
              </w:rPr>
              <w:t>il periodo minimo di riferimento</w:t>
            </w:r>
            <w:r w:rsidRPr="003F2451">
              <w:rPr>
                <w:color w:val="FF0000"/>
              </w:rPr>
              <w:t xml:space="preserve"> sarà pari a </w:t>
            </w:r>
            <w:r w:rsidRPr="003F2451">
              <w:rPr>
                <w:b/>
                <w:color w:val="FF0000"/>
              </w:rPr>
              <w:t>Vr = Cu · Vn = 2.5 · 300 = 750 anni</w:t>
            </w:r>
            <w:r w:rsidRPr="003F2451">
              <w:rPr>
                <w:color w:val="FF0000"/>
              </w:rPr>
              <w:t xml:space="preserve">. </w:t>
            </w:r>
            <w:r w:rsidRPr="003F2451">
              <w:rPr>
                <w:b/>
                <w:color w:val="FF0000"/>
              </w:rPr>
              <w:t>Per calcolare il periodo di r</w:t>
            </w:r>
            <w:r w:rsidRPr="003F2451">
              <w:rPr>
                <w:b/>
                <w:color w:val="FF0000"/>
              </w:rPr>
              <w:t>i</w:t>
            </w:r>
            <w:r w:rsidRPr="003F2451">
              <w:rPr>
                <w:b/>
                <w:color w:val="FF0000"/>
              </w:rPr>
              <w:t xml:space="preserve">torno Tr </w:t>
            </w:r>
            <w:r w:rsidRPr="003F2451">
              <w:rPr>
                <w:color w:val="FF0000"/>
              </w:rPr>
              <w:t xml:space="preserve">si deve tener conto di quanto detto al </w:t>
            </w:r>
            <w:r w:rsidRPr="003F2451">
              <w:rPr>
                <w:b/>
                <w:color w:val="FF0000"/>
              </w:rPr>
              <w:t>par. C 3.2.1 della circolare in parola</w:t>
            </w:r>
            <w:r w:rsidRPr="003F2451">
              <w:rPr>
                <w:color w:val="FF0000"/>
              </w:rPr>
              <w:t xml:space="preserve"> che </w:t>
            </w:r>
            <w:r w:rsidRPr="003F2451">
              <w:rPr>
                <w:b/>
                <w:color w:val="FF0000"/>
              </w:rPr>
              <w:t>per opere speciali prevede la possibilità di considerare azioni sismiche riferite a periodi di ritorno superiori al limite massimo fissato dalle NTC2008 la cui strategia progettuale</w:t>
            </w:r>
            <w:r w:rsidRPr="003F2451">
              <w:rPr>
                <w:color w:val="FF0000"/>
              </w:rPr>
              <w:t xml:space="preserve"> di norma </w:t>
            </w:r>
            <w:r w:rsidRPr="003F2451">
              <w:rPr>
                <w:b/>
                <w:color w:val="FF0000"/>
              </w:rPr>
              <w:t xml:space="preserve">prevede per </w:t>
            </w:r>
            <w:r w:rsidRPr="003F2451">
              <w:rPr>
                <w:b/>
                <w:color w:val="FF0000"/>
              </w:rPr>
              <w:lastRenderedPageBreak/>
              <w:t>lo SLC un calcolo del Tr = - Vn·Cu / ln (1-Pvr) = 19.50·Vn·Cu ≤ 2475 a</w:t>
            </w:r>
            <w:r w:rsidRPr="003F2451">
              <w:rPr>
                <w:b/>
                <w:color w:val="FF0000"/>
              </w:rPr>
              <w:t>n</w:t>
            </w:r>
            <w:r w:rsidRPr="003F2451">
              <w:rPr>
                <w:b/>
                <w:color w:val="FF0000"/>
              </w:rPr>
              <w:t>ni</w:t>
            </w:r>
            <w:r w:rsidRPr="003F2451">
              <w:rPr>
                <w:color w:val="FF0000"/>
              </w:rPr>
              <w:t xml:space="preserve">, </w:t>
            </w:r>
            <w:r w:rsidRPr="003F2451">
              <w:rPr>
                <w:b/>
                <w:color w:val="FF0000"/>
              </w:rPr>
              <w:t>per queste opere, quindi, è possibile/necessario utilizzare Tr &gt;2475 anni.</w:t>
            </w:r>
            <w:r w:rsidRPr="003F2451">
              <w:rPr>
                <w:color w:val="FF0000"/>
              </w:rPr>
              <w:t xml:space="preserve"> </w:t>
            </w:r>
          </w:p>
          <w:p w:rsidR="00EF3014" w:rsidRPr="003F2451" w:rsidRDefault="00EF3014" w:rsidP="00EF3014">
            <w:pPr>
              <w:pStyle w:val="CAMPI"/>
              <w:jc w:val="both"/>
              <w:rPr>
                <w:b/>
                <w:color w:val="FF0000"/>
              </w:rPr>
            </w:pPr>
            <w:r w:rsidRPr="003F2451">
              <w:rPr>
                <w:b/>
                <w:color w:val="FF0000"/>
              </w:rPr>
              <w:t>Fissata la vita nominale Vn della costruzione e valutato il periodo di ritorno Tr corrispondente a Cu=1, si ricava il Tr</w:t>
            </w:r>
            <w:r w:rsidRPr="003F2451">
              <w:rPr>
                <w:b/>
                <w:color w:val="FF0000"/>
                <w:vertAlign w:val="subscript"/>
              </w:rPr>
              <w:t>(Cu)</w:t>
            </w:r>
            <w:r w:rsidRPr="003F2451">
              <w:rPr>
                <w:b/>
                <w:color w:val="FF0000"/>
              </w:rPr>
              <w:t xml:space="preserve"> corrispondente al generico Cu dal prodotto Tr</w:t>
            </w:r>
            <w:r w:rsidRPr="003F2451">
              <w:rPr>
                <w:b/>
                <w:color w:val="FF0000"/>
                <w:vertAlign w:val="subscript"/>
              </w:rPr>
              <w:t>(Cu)</w:t>
            </w:r>
            <w:r w:rsidRPr="003F2451">
              <w:rPr>
                <w:b/>
                <w:color w:val="FF0000"/>
              </w:rPr>
              <w:t xml:space="preserve"> = Cu</w:t>
            </w:r>
            <w:r w:rsidRPr="003F2451">
              <w:rPr>
                <w:rFonts w:ascii="MS Gothic" w:eastAsia="MS Gothic" w:hAnsi="MS Gothic" w:cs="MS Gothic" w:hint="eastAsia"/>
                <w:b/>
                <w:color w:val="FF0000"/>
              </w:rPr>
              <w:t>・</w:t>
            </w:r>
            <w:r w:rsidRPr="003F2451">
              <w:rPr>
                <w:rFonts w:hint="eastAsia"/>
                <w:b/>
                <w:color w:val="FF0000"/>
              </w:rPr>
              <w:t>T</w:t>
            </w:r>
            <w:r w:rsidRPr="003F2451">
              <w:rPr>
                <w:b/>
                <w:color w:val="FF0000"/>
              </w:rPr>
              <w:t>r</w:t>
            </w:r>
            <w:r w:rsidRPr="003F2451">
              <w:rPr>
                <w:b/>
                <w:color w:val="FF0000"/>
                <w:vertAlign w:val="subscript"/>
              </w:rPr>
              <w:t>(Cu=1)</w:t>
            </w:r>
            <w:r w:rsidRPr="003F2451">
              <w:rPr>
                <w:b/>
                <w:color w:val="FF0000"/>
              </w:rPr>
              <w:t xml:space="preserve">. </w:t>
            </w:r>
            <w:r w:rsidRPr="003F2451">
              <w:rPr>
                <w:b/>
                <w:bCs/>
                <w:color w:val="FF0000"/>
              </w:rPr>
              <w:t>Al variare di CU, TR e VR variano con legge uguale</w:t>
            </w:r>
            <w:r w:rsidRPr="003F2451">
              <w:rPr>
                <w:b/>
                <w:color w:val="FF0000"/>
              </w:rPr>
              <w:t xml:space="preserve">. </w:t>
            </w:r>
          </w:p>
          <w:p w:rsidR="00EF3014" w:rsidRPr="003F2451" w:rsidRDefault="00EF3014" w:rsidP="00EF3014">
            <w:pPr>
              <w:pStyle w:val="CAMPI"/>
              <w:jc w:val="both"/>
              <w:rPr>
                <w:b/>
                <w:color w:val="FF0000"/>
              </w:rPr>
            </w:pPr>
            <w:r w:rsidRPr="003F2451">
              <w:rPr>
                <w:b/>
                <w:color w:val="FF0000"/>
              </w:rPr>
              <w:t xml:space="preserve">Secondo questa indicazione delle NTC, considerato che per un’opera con Vn=300 e Cu=1 si ha Vr=300 anni per lo stato limite SLC si ottiene </w:t>
            </w:r>
            <w:r w:rsidRPr="003F2451">
              <w:rPr>
                <w:rFonts w:hint="eastAsia"/>
                <w:b/>
                <w:color w:val="FF0000"/>
              </w:rPr>
              <w:t>T</w:t>
            </w:r>
            <w:r w:rsidRPr="003F2451">
              <w:rPr>
                <w:b/>
                <w:color w:val="FF0000"/>
              </w:rPr>
              <w:t>r</w:t>
            </w:r>
            <w:r w:rsidRPr="003F2451">
              <w:rPr>
                <w:b/>
                <w:color w:val="FF0000"/>
                <w:vertAlign w:val="subscript"/>
              </w:rPr>
              <w:t>(Cu=1)</w:t>
            </w:r>
            <w:r w:rsidRPr="003F2451">
              <w:rPr>
                <w:b/>
                <w:color w:val="FF0000"/>
              </w:rPr>
              <w:t>= 19.50·300 = 5850 anni, dalla quale per una struttura a rischio incidente rilevante con Cu =2.5 si ottiene: Tr</w:t>
            </w:r>
            <w:r w:rsidRPr="003F2451">
              <w:rPr>
                <w:b/>
                <w:color w:val="FF0000"/>
                <w:vertAlign w:val="subscript"/>
              </w:rPr>
              <w:t>(Cu)</w:t>
            </w:r>
            <w:r w:rsidRPr="003F2451">
              <w:rPr>
                <w:b/>
                <w:color w:val="FF0000"/>
              </w:rPr>
              <w:t xml:space="preserve"> = Cu</w:t>
            </w:r>
            <w:r w:rsidRPr="003F2451">
              <w:rPr>
                <w:rFonts w:ascii="MS Gothic" w:eastAsia="MS Gothic" w:hAnsi="MS Gothic" w:cs="MS Gothic" w:hint="eastAsia"/>
                <w:b/>
                <w:color w:val="FF0000"/>
              </w:rPr>
              <w:t>・</w:t>
            </w:r>
            <w:r w:rsidRPr="003F2451">
              <w:rPr>
                <w:rFonts w:hint="eastAsia"/>
                <w:b/>
                <w:color w:val="FF0000"/>
              </w:rPr>
              <w:t>T</w:t>
            </w:r>
            <w:r w:rsidRPr="003F2451">
              <w:rPr>
                <w:b/>
                <w:color w:val="FF0000"/>
              </w:rPr>
              <w:t>r</w:t>
            </w:r>
            <w:r w:rsidRPr="003F2451">
              <w:rPr>
                <w:b/>
                <w:color w:val="FF0000"/>
                <w:vertAlign w:val="subscript"/>
              </w:rPr>
              <w:t>(Cu=1)</w:t>
            </w:r>
            <w:r w:rsidRPr="003F2451">
              <w:rPr>
                <w:b/>
                <w:color w:val="FF0000"/>
              </w:rPr>
              <w:t xml:space="preserve"> = 2.5·5850 = 14625 anni.</w:t>
            </w:r>
          </w:p>
          <w:p w:rsidR="00EF3014" w:rsidRPr="003F2451" w:rsidRDefault="00EF3014" w:rsidP="00EF3014">
            <w:pPr>
              <w:pStyle w:val="CAMPI"/>
              <w:jc w:val="both"/>
              <w:rPr>
                <w:b/>
                <w:color w:val="FF0000"/>
              </w:rPr>
            </w:pPr>
            <w:r w:rsidRPr="003F2451">
              <w:rPr>
                <w:b/>
                <w:color w:val="FF0000"/>
              </w:rPr>
              <w:t xml:space="preserve">Se poi si scegliesse di adottare la strategia progettuale alternativa b), sempre prevista dalla circolare C.S.LL.P. n. 7 in parola, applicando il valore di Pvr* = 4.94% previsto per lo stato SLC in </w:t>
            </w:r>
            <w:r w:rsidRPr="003F2451">
              <w:rPr>
                <w:b/>
                <w:bCs/>
                <w:color w:val="FF0000"/>
              </w:rPr>
              <w:t>Tabella C.3.2.II</w:t>
            </w:r>
            <w:r w:rsidRPr="003F2451">
              <w:rPr>
                <w:b/>
                <w:color w:val="FF0000"/>
              </w:rPr>
              <w:t>, e utilizzando la formula Tr</w:t>
            </w:r>
            <w:r w:rsidRPr="003F2451">
              <w:rPr>
                <w:b/>
                <w:color w:val="FF0000"/>
                <w:vertAlign w:val="subscript"/>
              </w:rPr>
              <w:t>(Pvr*)</w:t>
            </w:r>
            <w:r w:rsidRPr="003F2451">
              <w:rPr>
                <w:b/>
                <w:color w:val="FF0000"/>
              </w:rPr>
              <w:t xml:space="preserve"> = 19.75 · Vr = 19.75·Cu·Vn si otterrebbe Tr</w:t>
            </w:r>
            <w:r w:rsidRPr="003F2451">
              <w:rPr>
                <w:b/>
                <w:color w:val="FF0000"/>
                <w:vertAlign w:val="subscript"/>
              </w:rPr>
              <w:t>(Pvr*)</w:t>
            </w:r>
            <w:r w:rsidRPr="003F2451">
              <w:rPr>
                <w:b/>
                <w:color w:val="FF0000"/>
              </w:rPr>
              <w:t xml:space="preserve"> = 19.75 ·750 = 14813 anni. </w:t>
            </w:r>
          </w:p>
          <w:p w:rsidR="00EF3014" w:rsidRPr="003F2451" w:rsidRDefault="00EF3014" w:rsidP="00EF3014">
            <w:pPr>
              <w:pStyle w:val="CAMPI"/>
              <w:jc w:val="both"/>
              <w:rPr>
                <w:b/>
                <w:color w:val="FF0000"/>
              </w:rPr>
            </w:pPr>
            <w:r w:rsidRPr="003F2451">
              <w:rPr>
                <w:b/>
                <w:color w:val="FF0000"/>
              </w:rPr>
              <w:t>Va detto che Inoltre, i cataloghi sismici tanto invidiati all’Italia per la loro completezza storica, partono dall’anno 1000 d.C. quindi, sono d</w:t>
            </w:r>
            <w:r w:rsidRPr="003F2451">
              <w:rPr>
                <w:b/>
                <w:color w:val="FF0000"/>
              </w:rPr>
              <w:t>e</w:t>
            </w:r>
            <w:r w:rsidRPr="003F2451">
              <w:rPr>
                <w:b/>
                <w:color w:val="FF0000"/>
              </w:rPr>
              <w:t>cisamente inferiori anche ai 2475, figuriamoci che tipo di completezza possono offrire per i tempi di ritorno relativi ad un’opera di VITA N</w:t>
            </w:r>
            <w:r w:rsidRPr="003F2451">
              <w:rPr>
                <w:b/>
                <w:color w:val="FF0000"/>
              </w:rPr>
              <w:t>O</w:t>
            </w:r>
            <w:r w:rsidRPr="003F2451">
              <w:rPr>
                <w:b/>
                <w:color w:val="FF0000"/>
              </w:rPr>
              <w:t xml:space="preserve">MINALE ed ESERCIZIO di 300-350 anni. </w:t>
            </w:r>
          </w:p>
          <w:p w:rsidR="00EF3014" w:rsidRPr="003F2451" w:rsidRDefault="00EF3014" w:rsidP="00EF3014">
            <w:pPr>
              <w:pStyle w:val="CAMPI"/>
              <w:jc w:val="both"/>
              <w:rPr>
                <w:b/>
                <w:color w:val="FF0000"/>
              </w:rPr>
            </w:pPr>
            <w:r w:rsidRPr="003F2451">
              <w:rPr>
                <w:rFonts w:cs="Arial"/>
                <w:b/>
                <w:color w:val="FF0000"/>
              </w:rPr>
              <w:t>È</w:t>
            </w:r>
            <w:r w:rsidRPr="003F2451">
              <w:rPr>
                <w:b/>
                <w:color w:val="FF0000"/>
              </w:rPr>
              <w:t xml:space="preserve"> evidente che tali tempi di ritorno non sono contemplati nelle linee guida dell’ISPRA. Sulla base di simili Tr, l’entità dell’accelerazione ag attesa, senza tener conto degli effetti di amplificazione di sito per altro possibili considerata la successione stratigrafica dei siti, sarebbe di gran lunga superiore al limite di 0.25g previsto per l’esclusione in b</w:t>
            </w:r>
            <w:r w:rsidRPr="003F2451">
              <w:rPr>
                <w:b/>
                <w:color w:val="FF0000"/>
              </w:rPr>
              <w:t>a</w:t>
            </w:r>
            <w:r w:rsidRPr="003F2451">
              <w:rPr>
                <w:b/>
                <w:color w:val="FF0000"/>
              </w:rPr>
              <w:t>se al criterio CE2 della guida ISPRA n. 29.</w:t>
            </w:r>
          </w:p>
          <w:p w:rsidR="00EF3014" w:rsidRPr="003F2451" w:rsidRDefault="00EF3014" w:rsidP="00EF3014">
            <w:pPr>
              <w:pStyle w:val="CAMPI"/>
              <w:jc w:val="both"/>
              <w:rPr>
                <w:b/>
                <w:bCs/>
                <w:color w:val="FF0000"/>
              </w:rPr>
            </w:pPr>
            <w:r w:rsidRPr="003F2451">
              <w:rPr>
                <w:b/>
                <w:color w:val="FF0000"/>
              </w:rPr>
              <w:t>Sulla scorta di quanto ho esposto, SOGIN dovrebbe</w:t>
            </w:r>
            <w:r w:rsidRPr="003F2451">
              <w:rPr>
                <w:b/>
                <w:bCs/>
                <w:color w:val="FF0000"/>
              </w:rPr>
              <w:t xml:space="preserve"> considerare il m</w:t>
            </w:r>
            <w:r w:rsidRPr="003F2451">
              <w:rPr>
                <w:b/>
                <w:bCs/>
                <w:color w:val="FF0000"/>
              </w:rPr>
              <w:t>e</w:t>
            </w:r>
            <w:r w:rsidRPr="003F2451">
              <w:rPr>
                <w:b/>
                <w:bCs/>
                <w:color w:val="FF0000"/>
              </w:rPr>
              <w:t xml:space="preserve">todo per il calcolo della pericolosità al sito, contemplato dalle NTC 2008 e 2018, rispettivamente, agli all’artt. </w:t>
            </w:r>
          </w:p>
          <w:p w:rsidR="00EF3014" w:rsidRPr="003F2451" w:rsidRDefault="00EF3014" w:rsidP="00EF3014">
            <w:pPr>
              <w:pStyle w:val="CAMPI"/>
              <w:spacing w:before="0" w:after="0"/>
              <w:jc w:val="both"/>
              <w:rPr>
                <w:b/>
                <w:bCs/>
                <w:color w:val="FF0000"/>
              </w:rPr>
            </w:pPr>
            <w:r w:rsidRPr="003F2451">
              <w:rPr>
                <w:b/>
                <w:bCs/>
                <w:color w:val="FF0000"/>
              </w:rPr>
              <w:t xml:space="preserve">NTC 2008: 3.2.3.6 IMPIEGO DI ACCELEROGRAMMI </w:t>
            </w:r>
          </w:p>
          <w:p w:rsidR="00EF3014" w:rsidRPr="003F2451" w:rsidRDefault="00EF3014" w:rsidP="00EF3014">
            <w:pPr>
              <w:pStyle w:val="CAMPI"/>
              <w:spacing w:before="0" w:after="0"/>
              <w:jc w:val="both"/>
              <w:rPr>
                <w:i/>
                <w:iCs/>
                <w:color w:val="FF0000"/>
              </w:rPr>
            </w:pPr>
            <w:r w:rsidRPr="003F2451">
              <w:rPr>
                <w:i/>
                <w:iCs/>
                <w:color w:val="FF0000"/>
              </w:rPr>
              <w:t>L’uso di accelerogrammi generati mediante simulazione del meccanismo di sorgente e della propagazione è ammesso a condizione che siano adegu</w:t>
            </w:r>
            <w:r w:rsidRPr="003F2451">
              <w:rPr>
                <w:i/>
                <w:iCs/>
                <w:color w:val="FF0000"/>
              </w:rPr>
              <w:t>a</w:t>
            </w:r>
            <w:r w:rsidRPr="003F2451">
              <w:rPr>
                <w:i/>
                <w:iCs/>
                <w:color w:val="FF0000"/>
              </w:rPr>
              <w:t xml:space="preserve">tamente giustificate le ipotesi relative alle caratteristiche sismogenetiche della sorgente e del mezzo di propagazione.  </w:t>
            </w:r>
          </w:p>
          <w:p w:rsidR="00EF3014" w:rsidRPr="003F2451" w:rsidRDefault="00EF3014" w:rsidP="00EF3014">
            <w:pPr>
              <w:pStyle w:val="CAMPI"/>
              <w:spacing w:before="0" w:after="0"/>
              <w:jc w:val="both"/>
              <w:rPr>
                <w:iCs/>
                <w:color w:val="FF0000"/>
              </w:rPr>
            </w:pPr>
          </w:p>
          <w:p w:rsidR="00EF3014" w:rsidRPr="003F2451" w:rsidRDefault="00EF3014" w:rsidP="00EF3014">
            <w:pPr>
              <w:pStyle w:val="CAMPI"/>
              <w:spacing w:before="0" w:after="0"/>
              <w:jc w:val="both"/>
              <w:rPr>
                <w:b/>
                <w:bCs/>
                <w:color w:val="FF0000"/>
              </w:rPr>
            </w:pPr>
            <w:r w:rsidRPr="003F2451">
              <w:rPr>
                <w:b/>
                <w:bCs/>
                <w:color w:val="FF0000"/>
              </w:rPr>
              <w:t>NTC 2018: 3.2.3.6 IMPIEGO DI STORIE TEMPORALI DEL MOTO DEL TERRENO</w:t>
            </w:r>
          </w:p>
          <w:p w:rsidR="00EF3014" w:rsidRPr="003F2451" w:rsidRDefault="00EF3014" w:rsidP="00EF3014">
            <w:pPr>
              <w:pStyle w:val="CAMPI"/>
              <w:spacing w:before="0" w:after="0"/>
              <w:jc w:val="both"/>
              <w:rPr>
                <w:i/>
                <w:iCs/>
                <w:color w:val="FF0000"/>
              </w:rPr>
            </w:pPr>
            <w:r w:rsidRPr="003F2451">
              <w:rPr>
                <w:i/>
                <w:iCs/>
                <w:color w:val="FF0000"/>
              </w:rPr>
              <w:t>(…) L’uso di storie temporali del moto del terreno naturali o registrate è ammesso a condizione che la loro scelta sia rappresentativa della sismicità del sito e sia adeguatamente giustificata in base alle caratteristiche sism</w:t>
            </w:r>
            <w:r w:rsidRPr="003F2451">
              <w:rPr>
                <w:i/>
                <w:iCs/>
                <w:color w:val="FF0000"/>
              </w:rPr>
              <w:t>o</w:t>
            </w:r>
            <w:r w:rsidRPr="003F2451">
              <w:rPr>
                <w:i/>
                <w:iCs/>
                <w:color w:val="FF0000"/>
              </w:rPr>
              <w:t>genetiche della sorgente, alle condizioni del sito di registrazione, alla m</w:t>
            </w:r>
            <w:r w:rsidRPr="003F2451">
              <w:rPr>
                <w:i/>
                <w:iCs/>
                <w:color w:val="FF0000"/>
              </w:rPr>
              <w:t>a</w:t>
            </w:r>
            <w:r w:rsidRPr="003F2451">
              <w:rPr>
                <w:i/>
                <w:iCs/>
                <w:color w:val="FF0000"/>
              </w:rPr>
              <w:t>gnitudo, alla distanza dalla sorgente e alla massima accelerazione orizzo</w:t>
            </w:r>
            <w:r w:rsidRPr="003F2451">
              <w:rPr>
                <w:i/>
                <w:iCs/>
                <w:color w:val="FF0000"/>
              </w:rPr>
              <w:t>n</w:t>
            </w:r>
            <w:r w:rsidRPr="003F2451">
              <w:rPr>
                <w:i/>
                <w:iCs/>
                <w:color w:val="FF0000"/>
              </w:rPr>
              <w:t>tale attesa al sito. (…)</w:t>
            </w:r>
          </w:p>
          <w:p w:rsidR="00B14551" w:rsidRPr="003F2451" w:rsidRDefault="00EF3014" w:rsidP="00272C6A">
            <w:pPr>
              <w:pStyle w:val="CAMPI"/>
              <w:jc w:val="both"/>
              <w:rPr>
                <w:color w:val="0F243E" w:themeColor="text2" w:themeShade="80"/>
              </w:rPr>
            </w:pPr>
            <w:r w:rsidRPr="003F2451">
              <w:rPr>
                <w:b/>
                <w:iCs/>
                <w:color w:val="FF0000"/>
              </w:rPr>
              <w:t>In alternativa si potrebbe applicare il metodo di CALCOLO NEO D</w:t>
            </w:r>
            <w:r w:rsidRPr="003F2451">
              <w:rPr>
                <w:b/>
                <w:iCs/>
                <w:color w:val="FF0000"/>
              </w:rPr>
              <w:t>E</w:t>
            </w:r>
            <w:r w:rsidRPr="003F2451">
              <w:rPr>
                <w:b/>
                <w:iCs/>
                <w:color w:val="FF0000"/>
              </w:rPr>
              <w:t>TERMINISTICO per la PERICOLOSIT</w:t>
            </w:r>
            <w:r w:rsidRPr="003F2451">
              <w:rPr>
                <w:rFonts w:cs="Arial"/>
                <w:b/>
                <w:iCs/>
                <w:color w:val="FF0000"/>
              </w:rPr>
              <w:t>Á</w:t>
            </w:r>
            <w:r w:rsidRPr="003F2451">
              <w:rPr>
                <w:b/>
                <w:iCs/>
                <w:color w:val="FF0000"/>
              </w:rPr>
              <w:t xml:space="preserve"> SISMICA–NDSHA (Giuliano F. </w:t>
            </w:r>
            <w:r w:rsidRPr="003F2451">
              <w:rPr>
                <w:b/>
                <w:iCs/>
                <w:color w:val="FF0000"/>
              </w:rPr>
              <w:lastRenderedPageBreak/>
              <w:t>Panza e Antonella Peresan, EPC editore, 2016). Tale metodo non ut</w:t>
            </w:r>
            <w:r w:rsidRPr="003F2451">
              <w:rPr>
                <w:b/>
                <w:iCs/>
                <w:color w:val="FF0000"/>
              </w:rPr>
              <w:t>i</w:t>
            </w:r>
            <w:r w:rsidRPr="003F2451">
              <w:rPr>
                <w:b/>
                <w:iCs/>
                <w:color w:val="FF0000"/>
              </w:rPr>
              <w:t>lizza la proiezione a tempi di ritorno NON CONTEMPLATI nella Storia Sismica Documentata ma calcola le PGA in una griglia di 25km su tu</w:t>
            </w:r>
            <w:r w:rsidRPr="003F2451">
              <w:rPr>
                <w:b/>
                <w:iCs/>
                <w:color w:val="FF0000"/>
              </w:rPr>
              <w:t>t</w:t>
            </w:r>
            <w:r w:rsidRPr="003F2451">
              <w:rPr>
                <w:b/>
                <w:iCs/>
                <w:color w:val="FF0000"/>
              </w:rPr>
              <w:t>to il territorio nazionale italiano attraverso le caratteristiche delle so</w:t>
            </w:r>
            <w:r w:rsidRPr="003F2451">
              <w:rPr>
                <w:b/>
                <w:iCs/>
                <w:color w:val="FF0000"/>
              </w:rPr>
              <w:t>r</w:t>
            </w:r>
            <w:r w:rsidRPr="003F2451">
              <w:rPr>
                <w:b/>
                <w:iCs/>
                <w:color w:val="FF0000"/>
              </w:rPr>
              <w:t>gente sismogenetiche e dei terremoti registrati o documentati.</w:t>
            </w:r>
            <w:r w:rsidR="00272C6A" w:rsidRPr="003F2451">
              <w:rPr>
                <w:b/>
                <w:iCs/>
                <w:color w:val="FF0000"/>
              </w:rPr>
              <w:t xml:space="preserve"> Il m</w:t>
            </w:r>
            <w:r w:rsidR="00272C6A" w:rsidRPr="003F2451">
              <w:rPr>
                <w:b/>
                <w:iCs/>
                <w:color w:val="FF0000"/>
              </w:rPr>
              <w:t>e</w:t>
            </w:r>
            <w:r w:rsidR="00272C6A" w:rsidRPr="003F2451">
              <w:rPr>
                <w:b/>
                <w:iCs/>
                <w:color w:val="FF0000"/>
              </w:rPr>
              <w:t>todo NDSHA, consiste nel considerare la parte del catalogo sismico italiano “completa”, che considera intervalli di magnitudo momento: 5&lt;Mw&lt;7.5. La procedura prevede di usare il concetto di Nodi Sism</w:t>
            </w:r>
            <w:r w:rsidR="00272C6A" w:rsidRPr="003F2451">
              <w:rPr>
                <w:b/>
                <w:iCs/>
                <w:color w:val="FF0000"/>
              </w:rPr>
              <w:t>o</w:t>
            </w:r>
            <w:r w:rsidR="00272C6A" w:rsidRPr="003F2451">
              <w:rPr>
                <w:b/>
                <w:iCs/>
                <w:color w:val="FF0000"/>
              </w:rPr>
              <w:t>genetici, recentemente confermati da Soloviev et al. 2014; Peresan et al. (2015); Walters et al. (2018), quest’ultimo studio a seguito della s</w:t>
            </w:r>
            <w:r w:rsidR="00272C6A" w:rsidRPr="003F2451">
              <w:rPr>
                <w:b/>
                <w:iCs/>
                <w:color w:val="FF0000"/>
              </w:rPr>
              <w:t>e</w:t>
            </w:r>
            <w:r w:rsidR="00272C6A" w:rsidRPr="003F2451">
              <w:rPr>
                <w:b/>
                <w:iCs/>
                <w:color w:val="FF0000"/>
              </w:rPr>
              <w:t>quenza sismica dell’Italia Centrale 2016-17.</w:t>
            </w:r>
            <w:bookmarkStart w:id="2" w:name="_GoBack"/>
            <w:bookmarkEnd w:id="2"/>
          </w:p>
        </w:tc>
      </w:tr>
      <w:tr w:rsidR="00C24F6B" w:rsidRPr="008E41AE" w:rsidTr="00C24F6B">
        <w:trPr>
          <w:trHeight w:val="567"/>
        </w:trPr>
        <w:tc>
          <w:tcPr>
            <w:tcW w:w="2943" w:type="dxa"/>
            <w:vAlign w:val="center"/>
          </w:tcPr>
          <w:p w:rsidR="00C24F6B" w:rsidRDefault="00C24F6B" w:rsidP="00C24F6B">
            <w:pPr>
              <w:pStyle w:val="LABELSEMPLICI"/>
            </w:pPr>
            <w:r>
              <w:lastRenderedPageBreak/>
              <w:t>POTENZIALE DI</w:t>
            </w:r>
          </w:p>
          <w:p w:rsidR="00C24F6B" w:rsidRDefault="00C24F6B" w:rsidP="00C24F6B">
            <w:pPr>
              <w:pStyle w:val="LABELSEMPLICI"/>
            </w:pPr>
            <w:r>
              <w:t>FAGLIAZIONE</w:t>
            </w:r>
          </w:p>
          <w:p w:rsidR="00CF5380" w:rsidRDefault="00CF5380" w:rsidP="00C24F6B">
            <w:pPr>
              <w:pStyle w:val="LABELSEMPLICI"/>
            </w:pPr>
          </w:p>
          <w:p w:rsidR="00CF5380" w:rsidRPr="00576336" w:rsidRDefault="00CF5380" w:rsidP="00576336">
            <w:pPr>
              <w:pStyle w:val="LABELSEMPLICI"/>
              <w:rPr>
                <w:lang w:val="en-GB"/>
              </w:rPr>
            </w:pPr>
          </w:p>
        </w:tc>
        <w:tc>
          <w:tcPr>
            <w:tcW w:w="6266" w:type="dxa"/>
            <w:shd w:val="clear" w:color="auto" w:fill="FFFFFF"/>
            <w:vAlign w:val="center"/>
          </w:tcPr>
          <w:p w:rsidR="006C0594" w:rsidRPr="003F2451" w:rsidRDefault="006C0594" w:rsidP="006C0594">
            <w:pPr>
              <w:pStyle w:val="CAMPI"/>
              <w:jc w:val="both"/>
              <w:rPr>
                <w:rFonts w:cs="Arial"/>
                <w:b/>
                <w:color w:val="FF0000"/>
                <w:szCs w:val="18"/>
              </w:rPr>
            </w:pPr>
            <w:r w:rsidRPr="003F2451">
              <w:rPr>
                <w:rFonts w:cs="Arial"/>
                <w:color w:val="0F243E" w:themeColor="text2" w:themeShade="80"/>
                <w:szCs w:val="18"/>
              </w:rPr>
              <w:t xml:space="preserve">Per valutare questo criterio, </w:t>
            </w:r>
            <w:r w:rsidRPr="003F2451">
              <w:rPr>
                <w:rFonts w:cs="Arial"/>
                <w:b/>
                <w:color w:val="0F243E" w:themeColor="text2" w:themeShade="80"/>
                <w:szCs w:val="18"/>
              </w:rPr>
              <w:t>sono stati consultati il database DISS</w:t>
            </w:r>
            <w:r w:rsidRPr="003F2451">
              <w:rPr>
                <w:rFonts w:cs="Arial"/>
                <w:color w:val="0F243E" w:themeColor="text2" w:themeShade="80"/>
                <w:szCs w:val="18"/>
              </w:rPr>
              <w:t xml:space="preserve">, per il solo 1° livello di approfondimento (Analisi GIS a scala nazionale), </w:t>
            </w:r>
            <w:r w:rsidRPr="003F2451">
              <w:rPr>
                <w:rFonts w:cs="Arial"/>
                <w:b/>
                <w:color w:val="0F243E" w:themeColor="text2" w:themeShade="80"/>
                <w:szCs w:val="18"/>
              </w:rPr>
              <w:t>e il cat</w:t>
            </w:r>
            <w:r w:rsidRPr="003F2451">
              <w:rPr>
                <w:rFonts w:cs="Arial"/>
                <w:b/>
                <w:color w:val="0F243E" w:themeColor="text2" w:themeShade="80"/>
                <w:szCs w:val="18"/>
              </w:rPr>
              <w:t>a</w:t>
            </w:r>
            <w:r w:rsidRPr="003F2451">
              <w:rPr>
                <w:rFonts w:cs="Arial"/>
                <w:b/>
                <w:color w:val="0F243E" w:themeColor="text2" w:themeShade="80"/>
                <w:szCs w:val="18"/>
              </w:rPr>
              <w:t>logo ITHACA</w:t>
            </w:r>
            <w:r w:rsidRPr="003F2451">
              <w:rPr>
                <w:rFonts w:cs="Arial"/>
                <w:color w:val="0F243E" w:themeColor="text2" w:themeShade="80"/>
                <w:szCs w:val="18"/>
              </w:rPr>
              <w:t xml:space="preserve"> per i soli livelli di approfondimento 5° (screening manuale alla scala locale) e 6° (rilievi speditivi sul campo e valutazioni alla scala dell’area). </w:t>
            </w:r>
            <w:r w:rsidRPr="003F2451">
              <w:rPr>
                <w:rFonts w:cs="Arial"/>
                <w:color w:val="FF0000"/>
                <w:szCs w:val="18"/>
              </w:rPr>
              <w:t xml:space="preserve">Osservazioni: </w:t>
            </w:r>
            <w:r w:rsidR="008F4829" w:rsidRPr="003F2451">
              <w:rPr>
                <w:rFonts w:cs="Arial"/>
                <w:b/>
                <w:color w:val="FF0000"/>
                <w:szCs w:val="18"/>
              </w:rPr>
              <w:t>L</w:t>
            </w:r>
            <w:r w:rsidRPr="003F2451">
              <w:rPr>
                <w:rFonts w:cs="Arial"/>
                <w:b/>
                <w:color w:val="FF0000"/>
                <w:szCs w:val="18"/>
              </w:rPr>
              <w:t>’analisi, quindi, è stata condotta</w:t>
            </w:r>
            <w:r w:rsidRPr="003F2451">
              <w:rPr>
                <w:rFonts w:cs="Arial"/>
                <w:color w:val="FF0000"/>
                <w:szCs w:val="18"/>
              </w:rPr>
              <w:t xml:space="preserve"> utilizzando i due distinti database disponibili a livello nazionale ma utilizzati </w:t>
            </w:r>
            <w:r w:rsidRPr="003F2451">
              <w:rPr>
                <w:rFonts w:cs="Arial"/>
                <w:b/>
                <w:color w:val="FF0000"/>
                <w:szCs w:val="18"/>
              </w:rPr>
              <w:t>in modo d</w:t>
            </w:r>
            <w:r w:rsidRPr="003F2451">
              <w:rPr>
                <w:rFonts w:cs="Arial"/>
                <w:b/>
                <w:color w:val="FF0000"/>
                <w:szCs w:val="18"/>
              </w:rPr>
              <w:t>i</w:t>
            </w:r>
            <w:r w:rsidRPr="003F2451">
              <w:rPr>
                <w:rFonts w:cs="Arial"/>
                <w:b/>
                <w:color w:val="FF0000"/>
                <w:szCs w:val="18"/>
              </w:rPr>
              <w:t>somogeneo e quindi senza possibilità di confronto incrociato dei r</w:t>
            </w:r>
            <w:r w:rsidRPr="003F2451">
              <w:rPr>
                <w:rFonts w:cs="Arial"/>
                <w:b/>
                <w:color w:val="FF0000"/>
                <w:szCs w:val="18"/>
              </w:rPr>
              <w:t>i</w:t>
            </w:r>
            <w:r w:rsidRPr="003F2451">
              <w:rPr>
                <w:rFonts w:cs="Arial"/>
                <w:b/>
                <w:color w:val="FF0000"/>
                <w:szCs w:val="18"/>
              </w:rPr>
              <w:t>sultati.</w:t>
            </w:r>
            <w:r w:rsidRPr="003F2451">
              <w:rPr>
                <w:rFonts w:cs="Arial"/>
                <w:color w:val="FF0000"/>
                <w:szCs w:val="18"/>
              </w:rPr>
              <w:t xml:space="preserve"> </w:t>
            </w:r>
            <w:r w:rsidR="00AA3521" w:rsidRPr="003F2451">
              <w:rPr>
                <w:rFonts w:cs="Arial"/>
                <w:b/>
                <w:color w:val="FF0000"/>
                <w:szCs w:val="18"/>
              </w:rPr>
              <w:t>A</w:t>
            </w:r>
            <w:r w:rsidRPr="003F2451">
              <w:rPr>
                <w:rFonts w:cs="Arial"/>
                <w:b/>
                <w:color w:val="FF0000"/>
                <w:szCs w:val="18"/>
              </w:rPr>
              <w:t>l netto degli eventuali effetti cosismici</w:t>
            </w:r>
            <w:r w:rsidRPr="003F2451">
              <w:rPr>
                <w:rFonts w:cs="Arial"/>
                <w:color w:val="FF0000"/>
                <w:szCs w:val="18"/>
              </w:rPr>
              <w:t xml:space="preserve">, per quanto riguarda i criteri per la definizione dell’attività delle faglie, </w:t>
            </w:r>
            <w:r w:rsidRPr="003F2451">
              <w:rPr>
                <w:rFonts w:cs="Arial"/>
                <w:b/>
                <w:color w:val="FF0000"/>
                <w:szCs w:val="18"/>
              </w:rPr>
              <w:t>non sembra siano state tenute in debito conto le indicazioni esplicitate nella SSG9 (</w:t>
            </w:r>
            <w:r w:rsidRPr="003F2451">
              <w:rPr>
                <w:rFonts w:cs="Arial"/>
                <w:i/>
                <w:color w:val="FF0000"/>
                <w:szCs w:val="18"/>
              </w:rPr>
              <w:t>IAEA 2010</w:t>
            </w:r>
            <w:r w:rsidRPr="003F2451">
              <w:rPr>
                <w:rFonts w:cs="Arial"/>
                <w:b/>
                <w:color w:val="FF0000"/>
                <w:szCs w:val="18"/>
              </w:rPr>
              <w:t xml:space="preserve"> -</w:t>
            </w:r>
            <w:r w:rsidRPr="003F2451">
              <w:rPr>
                <w:rFonts w:cs="Arial"/>
                <w:i/>
                <w:iCs/>
                <w:color w:val="FF0000"/>
                <w:szCs w:val="18"/>
              </w:rPr>
              <w:t xml:space="preserve"> Seismic Hazards in Site Evaluation for Nuclear Installations</w:t>
            </w:r>
            <w:r w:rsidRPr="003F2451">
              <w:rPr>
                <w:rFonts w:cs="Arial"/>
                <w:b/>
                <w:color w:val="FF0000"/>
                <w:szCs w:val="18"/>
              </w:rPr>
              <w:t>)</w:t>
            </w:r>
            <w:r w:rsidRPr="003F2451">
              <w:rPr>
                <w:rFonts w:cs="Arial"/>
                <w:color w:val="FF0000"/>
                <w:szCs w:val="18"/>
              </w:rPr>
              <w:t>:</w:t>
            </w:r>
            <w:r w:rsidRPr="003F2451">
              <w:rPr>
                <w:rFonts w:cs="Arial"/>
                <w:b/>
                <w:color w:val="FF0000"/>
                <w:szCs w:val="18"/>
              </w:rPr>
              <w:t xml:space="preserve"> </w:t>
            </w:r>
          </w:p>
          <w:p w:rsidR="006C0594" w:rsidRPr="003F2451" w:rsidRDefault="006C0594" w:rsidP="00545A9C">
            <w:pPr>
              <w:pStyle w:val="CAMPI"/>
              <w:spacing w:before="0" w:after="0"/>
              <w:jc w:val="both"/>
              <w:rPr>
                <w:rFonts w:cs="Arial"/>
                <w:b/>
                <w:color w:val="FF0000"/>
                <w:szCs w:val="18"/>
              </w:rPr>
            </w:pPr>
            <w:r w:rsidRPr="003F2451">
              <w:rPr>
                <w:rFonts w:cs="Arial"/>
                <w:b/>
                <w:color w:val="FF0000"/>
                <w:szCs w:val="18"/>
              </w:rPr>
              <w:t>- in regioni dove vi è una tettonica particolarmente attiva ed i dati s</w:t>
            </w:r>
            <w:r w:rsidRPr="003F2451">
              <w:rPr>
                <w:rFonts w:cs="Arial"/>
                <w:b/>
                <w:color w:val="FF0000"/>
                <w:szCs w:val="18"/>
              </w:rPr>
              <w:t>i</w:t>
            </w:r>
            <w:r w:rsidRPr="003F2451">
              <w:rPr>
                <w:rFonts w:cs="Arial"/>
                <w:b/>
                <w:color w:val="FF0000"/>
                <w:szCs w:val="18"/>
              </w:rPr>
              <w:t>smici e gelogici indicano tempi brevi di ricorrenza degli eventi sismici, il range da considerare è rappresentato da un periodo nell’ordine delle decine di migliaia di anni (ad esempio a partire dal Pleistocene sup</w:t>
            </w:r>
            <w:r w:rsidRPr="003F2451">
              <w:rPr>
                <w:rFonts w:cs="Arial"/>
                <w:b/>
                <w:color w:val="FF0000"/>
                <w:szCs w:val="18"/>
              </w:rPr>
              <w:t>e</w:t>
            </w:r>
            <w:r w:rsidRPr="003F2451">
              <w:rPr>
                <w:rFonts w:cs="Arial"/>
                <w:b/>
                <w:color w:val="FF0000"/>
                <w:szCs w:val="18"/>
              </w:rPr>
              <w:t>riore), mentre in aree tettonicamente meno attive la finestra temporale da considerare è più ampia (ad esempio a partire dall’inizio del Pli</w:t>
            </w:r>
            <w:r w:rsidRPr="003F2451">
              <w:rPr>
                <w:rFonts w:cs="Arial"/>
                <w:b/>
                <w:color w:val="FF0000"/>
                <w:szCs w:val="18"/>
              </w:rPr>
              <w:t>o</w:t>
            </w:r>
            <w:r w:rsidRPr="003F2451">
              <w:rPr>
                <w:rFonts w:cs="Arial"/>
                <w:b/>
                <w:color w:val="FF0000"/>
                <w:szCs w:val="18"/>
              </w:rPr>
              <w:t>cene);</w:t>
            </w:r>
          </w:p>
          <w:p w:rsidR="00795E52" w:rsidRPr="003F2451" w:rsidRDefault="00795E52" w:rsidP="00545A9C">
            <w:pPr>
              <w:pStyle w:val="CAMPI"/>
              <w:spacing w:before="0" w:after="0"/>
              <w:jc w:val="both"/>
              <w:rPr>
                <w:rFonts w:cs="Arial"/>
                <w:b/>
                <w:color w:val="FF0000"/>
                <w:szCs w:val="18"/>
              </w:rPr>
            </w:pPr>
          </w:p>
          <w:p w:rsidR="00795E52" w:rsidRPr="003F2451" w:rsidRDefault="00795E52" w:rsidP="00D613CE">
            <w:pPr>
              <w:pStyle w:val="CAMPI"/>
              <w:spacing w:before="0" w:after="0"/>
              <w:jc w:val="both"/>
              <w:rPr>
                <w:rFonts w:cs="Arial"/>
                <w:b/>
                <w:color w:val="FF0000"/>
                <w:szCs w:val="18"/>
              </w:rPr>
            </w:pPr>
            <w:r w:rsidRPr="003F2451">
              <w:rPr>
                <w:rFonts w:cs="Arial"/>
                <w:b/>
                <w:color w:val="FF0000"/>
                <w:szCs w:val="18"/>
              </w:rPr>
              <w:t>- nel processo di valutazione di un sito, definisce il concetto di “</w:t>
            </w:r>
            <w:r w:rsidRPr="003F2451">
              <w:rPr>
                <w:rFonts w:cs="Arial"/>
                <w:b/>
                <w:i/>
                <w:iCs/>
                <w:color w:val="FF0000"/>
                <w:szCs w:val="18"/>
              </w:rPr>
              <w:t>site vicinity</w:t>
            </w:r>
            <w:r w:rsidRPr="003F2451">
              <w:rPr>
                <w:rFonts w:cs="Arial"/>
                <w:b/>
                <w:color w:val="FF0000"/>
                <w:szCs w:val="18"/>
              </w:rPr>
              <w:t>”, area con raggio non inferiore a 5 km all’interno della quale occorre individuare condizioni di potenziale instabilità geologica ed in particolare di “</w:t>
            </w:r>
            <w:r w:rsidRPr="003F2451">
              <w:rPr>
                <w:rFonts w:cs="Arial"/>
                <w:b/>
                <w:i/>
                <w:iCs/>
                <w:color w:val="FF0000"/>
                <w:szCs w:val="18"/>
              </w:rPr>
              <w:t>fault capability</w:t>
            </w:r>
            <w:r w:rsidRPr="003F2451">
              <w:rPr>
                <w:rFonts w:cs="Arial"/>
                <w:b/>
                <w:color w:val="FF0000"/>
                <w:szCs w:val="18"/>
              </w:rPr>
              <w:t>” (par. 3.16). La stessa guida nel par</w:t>
            </w:r>
            <w:r w:rsidRPr="003F2451">
              <w:rPr>
                <w:rFonts w:cs="Arial"/>
                <w:b/>
                <w:color w:val="FF0000"/>
                <w:szCs w:val="18"/>
              </w:rPr>
              <w:t>a</w:t>
            </w:r>
            <w:r w:rsidRPr="003F2451">
              <w:rPr>
                <w:rFonts w:cs="Arial"/>
                <w:b/>
                <w:color w:val="FF0000"/>
                <w:szCs w:val="18"/>
              </w:rPr>
              <w:t>grafo 8.8 riporta che dove esistono evidenze affidabili di faglie capaci con potenzialità di creare problemi di sicurezza al futuro impianto, a</w:t>
            </w:r>
            <w:r w:rsidRPr="003F2451">
              <w:rPr>
                <w:rFonts w:cs="Arial"/>
                <w:b/>
                <w:color w:val="FF0000"/>
                <w:szCs w:val="18"/>
              </w:rPr>
              <w:t>l</w:t>
            </w:r>
            <w:r w:rsidRPr="003F2451">
              <w:rPr>
                <w:rFonts w:cs="Arial"/>
                <w:b/>
                <w:color w:val="FF0000"/>
                <w:szCs w:val="18"/>
              </w:rPr>
              <w:t>lora la fattibilità del progetto deve essere rivalutata e, se necessario, deve essere valutato un sito alternativo. S</w:t>
            </w:r>
            <w:r w:rsidRPr="003F2451">
              <w:rPr>
                <w:rFonts w:cs="Arial"/>
                <w:b/>
                <w:bCs/>
                <w:color w:val="FF0000"/>
                <w:szCs w:val="18"/>
              </w:rPr>
              <w:t>i segnala, inoltre, che la R</w:t>
            </w:r>
            <w:r w:rsidRPr="003F2451">
              <w:rPr>
                <w:rFonts w:cs="Arial"/>
                <w:b/>
                <w:bCs/>
                <w:color w:val="FF0000"/>
                <w:szCs w:val="18"/>
              </w:rPr>
              <w:t>e</w:t>
            </w:r>
            <w:r w:rsidRPr="003F2451">
              <w:rPr>
                <w:rFonts w:cs="Arial"/>
                <w:b/>
                <w:bCs/>
                <w:color w:val="FF0000"/>
                <w:szCs w:val="18"/>
              </w:rPr>
              <w:t>lazione DN GS 00223 del 21-07-2015, che riporta i risultati dello “</w:t>
            </w:r>
            <w:r w:rsidRPr="003F2451">
              <w:rPr>
                <w:rFonts w:cs="Arial"/>
                <w:b/>
                <w:bCs/>
                <w:i/>
                <w:color w:val="FF0000"/>
                <w:szCs w:val="18"/>
              </w:rPr>
              <w:t>St</w:t>
            </w:r>
            <w:r w:rsidRPr="003F2451">
              <w:rPr>
                <w:rFonts w:cs="Arial"/>
                <w:b/>
                <w:bCs/>
                <w:i/>
                <w:color w:val="FF0000"/>
                <w:szCs w:val="18"/>
              </w:rPr>
              <w:t>u</w:t>
            </w:r>
            <w:r w:rsidRPr="003F2451">
              <w:rPr>
                <w:rFonts w:cs="Arial"/>
                <w:b/>
                <w:bCs/>
                <w:i/>
                <w:color w:val="FF0000"/>
                <w:szCs w:val="18"/>
              </w:rPr>
              <w:t>dio del quadro conoscitivo relativo alla pericolosità da fagliazione s</w:t>
            </w:r>
            <w:r w:rsidRPr="003F2451">
              <w:rPr>
                <w:rFonts w:cs="Arial"/>
                <w:b/>
                <w:bCs/>
                <w:i/>
                <w:color w:val="FF0000"/>
                <w:szCs w:val="18"/>
              </w:rPr>
              <w:t>u</w:t>
            </w:r>
            <w:r w:rsidRPr="003F2451">
              <w:rPr>
                <w:rFonts w:cs="Arial"/>
                <w:b/>
                <w:bCs/>
                <w:i/>
                <w:color w:val="FF0000"/>
                <w:szCs w:val="18"/>
              </w:rPr>
              <w:t>perficiale su aree selezionate</w:t>
            </w:r>
            <w:r w:rsidRPr="003F2451">
              <w:rPr>
                <w:rFonts w:cs="Arial"/>
                <w:b/>
                <w:bCs/>
                <w:color w:val="FF0000"/>
                <w:szCs w:val="18"/>
              </w:rPr>
              <w:t>”, eseguito dall’Università degli Studi dell’Insubria - DISAT, è stata messa a disposizione da SOGIN in una versione incompleta (consta di sole 13 pagine). Malgrado l’incompletezza dell’elaborato, dallo stesso si evince che la Macroarea Apulo-Bradanica, interessata dai potenziali siti pugliesi, è inquadrata nel dominio sismotettonico “interplacca” e per essa riguardo i tempi di ricorrenza di eventi sismici legati alla tettonica attiva e alla fagli</w:t>
            </w:r>
            <w:r w:rsidRPr="003F2451">
              <w:rPr>
                <w:rFonts w:cs="Arial"/>
                <w:b/>
                <w:bCs/>
                <w:color w:val="FF0000"/>
                <w:szCs w:val="18"/>
              </w:rPr>
              <w:t>a</w:t>
            </w:r>
            <w:r w:rsidRPr="003F2451">
              <w:rPr>
                <w:rFonts w:cs="Arial"/>
                <w:b/>
                <w:bCs/>
                <w:color w:val="FF0000"/>
                <w:szCs w:val="18"/>
              </w:rPr>
              <w:t>zione capace si dice: “…In accordo con quanto previsto in IAEA SSG 9 , l’intervallo di riferimento per la valutazione della “</w:t>
            </w:r>
            <w:r w:rsidRPr="003F2451">
              <w:rPr>
                <w:rFonts w:cs="Arial"/>
                <w:b/>
                <w:bCs/>
                <w:i/>
                <w:iCs/>
                <w:color w:val="FF0000"/>
                <w:szCs w:val="18"/>
              </w:rPr>
              <w:t>fault capability</w:t>
            </w:r>
            <w:r w:rsidRPr="003F2451">
              <w:rPr>
                <w:rFonts w:cs="Arial"/>
                <w:b/>
                <w:bCs/>
                <w:color w:val="FF0000"/>
                <w:szCs w:val="18"/>
              </w:rPr>
              <w:t>” in queste aree può essere identificato con il Pleistocene superiore - Olocene, vale a dire gli ultimi 125.000 anni circa.”</w:t>
            </w:r>
          </w:p>
          <w:p w:rsidR="006C0594" w:rsidRPr="003F2451" w:rsidRDefault="006C0594" w:rsidP="006C0594">
            <w:pPr>
              <w:pStyle w:val="CAMPI"/>
              <w:spacing w:before="0" w:after="0"/>
              <w:jc w:val="both"/>
              <w:rPr>
                <w:rFonts w:cs="Arial"/>
                <w:b/>
                <w:color w:val="FF0000"/>
                <w:szCs w:val="18"/>
              </w:rPr>
            </w:pPr>
          </w:p>
          <w:p w:rsidR="00C24F6B" w:rsidRPr="003F2451" w:rsidRDefault="00AA3521" w:rsidP="009F51CC">
            <w:pPr>
              <w:pStyle w:val="Paragrafoelenco"/>
              <w:keepNext/>
              <w:keepLines/>
              <w:ind w:left="34"/>
              <w:contextualSpacing/>
              <w:jc w:val="both"/>
              <w:outlineLvl w:val="1"/>
              <w:rPr>
                <w:rFonts w:ascii="Arial" w:hAnsi="Arial" w:cs="Arial"/>
                <w:color w:val="0F243E" w:themeColor="text2" w:themeShade="80"/>
                <w:sz w:val="18"/>
                <w:szCs w:val="18"/>
              </w:rPr>
            </w:pPr>
            <w:r w:rsidRPr="003F2451">
              <w:rPr>
                <w:rFonts w:ascii="Arial" w:hAnsi="Arial" w:cs="Arial"/>
                <w:b/>
                <w:color w:val="FF0000"/>
                <w:sz w:val="18"/>
                <w:szCs w:val="18"/>
              </w:rPr>
              <w:t>Inoltre, n</w:t>
            </w:r>
            <w:r w:rsidR="006C0594" w:rsidRPr="003F2451">
              <w:rPr>
                <w:rFonts w:ascii="Arial" w:hAnsi="Arial" w:cs="Arial"/>
                <w:b/>
                <w:color w:val="FF0000"/>
                <w:sz w:val="18"/>
                <w:szCs w:val="18"/>
              </w:rPr>
              <w:t>on è stato realizzat</w:t>
            </w:r>
            <w:r w:rsidRPr="003F2451">
              <w:rPr>
                <w:rFonts w:ascii="Arial" w:hAnsi="Arial" w:cs="Arial"/>
                <w:b/>
                <w:color w:val="FF0000"/>
                <w:sz w:val="18"/>
                <w:szCs w:val="18"/>
              </w:rPr>
              <w:t>a</w:t>
            </w:r>
            <w:r w:rsidR="006C0594" w:rsidRPr="003F2451">
              <w:rPr>
                <w:rFonts w:ascii="Arial" w:hAnsi="Arial" w:cs="Arial"/>
                <w:b/>
                <w:color w:val="FF0000"/>
                <w:sz w:val="18"/>
                <w:szCs w:val="18"/>
              </w:rPr>
              <w:t xml:space="preserve"> una ricostruzione a scala regionale dell’assetto tettonico-strutturale</w:t>
            </w:r>
            <w:r w:rsidR="006C0594" w:rsidRPr="003F2451">
              <w:rPr>
                <w:rFonts w:ascii="Arial" w:hAnsi="Arial" w:cs="Arial"/>
                <w:color w:val="FF0000"/>
                <w:sz w:val="18"/>
                <w:szCs w:val="18"/>
              </w:rPr>
              <w:t xml:space="preserve"> che consentisse di definire con maggior precisione l’intervallo temporale che collega il concetto di attività a quella del regime tettonico (Machette, 2000; Galadini et al., 2012). </w:t>
            </w:r>
            <w:r w:rsidR="00A273D7" w:rsidRPr="003F2451">
              <w:rPr>
                <w:rFonts w:ascii="Arial" w:hAnsi="Arial" w:cs="Arial"/>
                <w:b/>
                <w:color w:val="FF0000"/>
                <w:sz w:val="18"/>
                <w:szCs w:val="18"/>
              </w:rPr>
              <w:t>Co</w:t>
            </w:r>
            <w:r w:rsidR="006C0594" w:rsidRPr="003F2451">
              <w:rPr>
                <w:rFonts w:ascii="Arial" w:hAnsi="Arial" w:cs="Arial"/>
                <w:b/>
                <w:color w:val="FF0000"/>
                <w:sz w:val="18"/>
                <w:szCs w:val="18"/>
              </w:rPr>
              <w:t>n questo approccio una faglia è definita attiva se si è mossa all’interno del regime tettonico attuale e questa evidenza garantisce che la faglia probabilmente sarà attiva anche in futuro.</w:t>
            </w:r>
            <w:r w:rsidR="00A273D7" w:rsidRPr="003F2451">
              <w:rPr>
                <w:rFonts w:ascii="Arial" w:hAnsi="Arial" w:cs="Arial"/>
                <w:b/>
                <w:color w:val="FF0000"/>
                <w:sz w:val="18"/>
                <w:szCs w:val="18"/>
              </w:rPr>
              <w:t xml:space="preserve"> Stando a questo approccio tutte le ar</w:t>
            </w:r>
            <w:r w:rsidR="00491AF2" w:rsidRPr="003F2451">
              <w:rPr>
                <w:rFonts w:ascii="Arial" w:hAnsi="Arial" w:cs="Arial"/>
                <w:b/>
                <w:color w:val="FF0000"/>
                <w:sz w:val="18"/>
                <w:szCs w:val="18"/>
              </w:rPr>
              <w:t>e</w:t>
            </w:r>
            <w:r w:rsidR="00A273D7" w:rsidRPr="003F2451">
              <w:rPr>
                <w:rFonts w:ascii="Arial" w:hAnsi="Arial" w:cs="Arial"/>
                <w:b/>
                <w:color w:val="FF0000"/>
                <w:sz w:val="18"/>
                <w:szCs w:val="18"/>
              </w:rPr>
              <w:t xml:space="preserve">e individuate </w:t>
            </w:r>
            <w:r w:rsidR="00491AF2" w:rsidRPr="003F2451">
              <w:rPr>
                <w:rFonts w:ascii="Arial" w:hAnsi="Arial" w:cs="Arial"/>
                <w:b/>
                <w:color w:val="FF0000"/>
                <w:sz w:val="18"/>
                <w:szCs w:val="18"/>
              </w:rPr>
              <w:t xml:space="preserve">in Puglia </w:t>
            </w:r>
            <w:r w:rsidR="00A273D7" w:rsidRPr="003F2451">
              <w:rPr>
                <w:rFonts w:ascii="Arial" w:hAnsi="Arial" w:cs="Arial"/>
                <w:b/>
                <w:color w:val="FF0000"/>
                <w:sz w:val="18"/>
                <w:szCs w:val="18"/>
              </w:rPr>
              <w:t xml:space="preserve">sarebbero comprese fra due estese </w:t>
            </w:r>
            <w:r w:rsidR="004400A5" w:rsidRPr="003F2451">
              <w:rPr>
                <w:rFonts w:ascii="Arial" w:hAnsi="Arial" w:cs="Arial"/>
                <w:b/>
                <w:color w:val="FF0000"/>
                <w:sz w:val="18"/>
                <w:szCs w:val="18"/>
              </w:rPr>
              <w:t>faglie</w:t>
            </w:r>
            <w:r w:rsidR="00491AF2" w:rsidRPr="003F2451">
              <w:rPr>
                <w:rFonts w:ascii="Arial" w:hAnsi="Arial" w:cs="Arial"/>
                <w:b/>
                <w:color w:val="FF0000"/>
                <w:sz w:val="18"/>
                <w:szCs w:val="18"/>
              </w:rPr>
              <w:t xml:space="preserve"> (</w:t>
            </w:r>
            <w:r w:rsidR="009F51CC" w:rsidRPr="003F2451">
              <w:rPr>
                <w:rFonts w:ascii="Arial" w:hAnsi="Arial" w:cs="Arial"/>
                <w:b/>
                <w:color w:val="FF0000"/>
                <w:sz w:val="18"/>
                <w:szCs w:val="18"/>
              </w:rPr>
              <w:t>Tavola</w:t>
            </w:r>
            <w:r w:rsidR="00491AF2" w:rsidRPr="003F2451">
              <w:rPr>
                <w:rFonts w:ascii="Arial" w:hAnsi="Arial" w:cs="Arial"/>
                <w:b/>
                <w:color w:val="FF0000"/>
                <w:sz w:val="18"/>
                <w:szCs w:val="18"/>
              </w:rPr>
              <w:t xml:space="preserve"> 1)</w:t>
            </w:r>
            <w:r w:rsidR="004400A5" w:rsidRPr="003F2451">
              <w:rPr>
                <w:rFonts w:ascii="Arial" w:hAnsi="Arial" w:cs="Arial"/>
                <w:b/>
                <w:color w:val="FF0000"/>
                <w:sz w:val="18"/>
                <w:szCs w:val="18"/>
              </w:rPr>
              <w:t xml:space="preserve">, ad andamento circa Est-Ovest, </w:t>
            </w:r>
            <w:r w:rsidR="00491AF2" w:rsidRPr="003F2451">
              <w:rPr>
                <w:rFonts w:ascii="Arial" w:hAnsi="Arial" w:cs="Arial"/>
                <w:b/>
                <w:color w:val="FF0000"/>
                <w:sz w:val="18"/>
                <w:szCs w:val="18"/>
              </w:rPr>
              <w:t>la Baragiano-</w:t>
            </w:r>
            <w:r w:rsidR="00491AF2" w:rsidRPr="003F2451">
              <w:rPr>
                <w:rFonts w:ascii="Arial" w:hAnsi="Arial" w:cs="Arial"/>
                <w:b/>
                <w:color w:val="FF0000"/>
                <w:sz w:val="18"/>
                <w:szCs w:val="18"/>
              </w:rPr>
              <w:lastRenderedPageBreak/>
              <w:t>Palagianello (DISS ID - ITCS005)</w:t>
            </w:r>
            <w:r w:rsidR="00D63EC4" w:rsidRPr="003F2451">
              <w:rPr>
                <w:rFonts w:ascii="Arial" w:hAnsi="Arial" w:cs="Arial"/>
                <w:b/>
                <w:color w:val="FF0000"/>
                <w:sz w:val="18"/>
                <w:szCs w:val="18"/>
              </w:rPr>
              <w:t xml:space="preserve"> che</w:t>
            </w:r>
            <w:r w:rsidR="00297095" w:rsidRPr="003F2451">
              <w:rPr>
                <w:rFonts w:ascii="Arial" w:hAnsi="Arial" w:cs="Arial"/>
                <w:b/>
                <w:color w:val="FF0000"/>
                <w:sz w:val="18"/>
                <w:szCs w:val="18"/>
              </w:rPr>
              <w:t xml:space="preserve"> proseguirebbe fino al porto di Brindisi (Bruno G. 2020 studio inedito per il progetto di ricerca MEDSAL)  e la faglia Altamura-Pezze di Greco (Bruno G. 2020 studio inedito per il progetto di ricerca MEDSAL) che borda il settore meridionale della depressione tettono-carsica del “Canale di Pirro”</w:t>
            </w:r>
            <w:r w:rsidR="008E41AE" w:rsidRPr="003F2451">
              <w:rPr>
                <w:rFonts w:ascii="Arial" w:hAnsi="Arial" w:cs="Arial"/>
                <w:b/>
                <w:color w:val="FF0000"/>
                <w:sz w:val="18"/>
                <w:szCs w:val="18"/>
              </w:rPr>
              <w:t>.</w:t>
            </w:r>
            <w:r w:rsidR="00491AF2" w:rsidRPr="003F2451">
              <w:rPr>
                <w:rFonts w:ascii="Arial" w:hAnsi="Arial" w:cs="Arial"/>
                <w:b/>
                <w:color w:val="FF0000"/>
                <w:sz w:val="18"/>
                <w:szCs w:val="18"/>
              </w:rPr>
              <w:t xml:space="preserve"> </w:t>
            </w:r>
            <w:r w:rsidR="008E41AE" w:rsidRPr="003F2451">
              <w:rPr>
                <w:rFonts w:ascii="Arial" w:hAnsi="Arial" w:cs="Arial"/>
                <w:b/>
                <w:color w:val="FF0000"/>
                <w:sz w:val="18"/>
                <w:szCs w:val="18"/>
              </w:rPr>
              <w:t>L’</w:t>
            </w:r>
            <w:r w:rsidR="004400A5" w:rsidRPr="003F2451">
              <w:rPr>
                <w:rFonts w:ascii="Arial" w:hAnsi="Arial" w:cs="Arial"/>
                <w:b/>
                <w:color w:val="FF0000"/>
                <w:sz w:val="18"/>
                <w:szCs w:val="18"/>
              </w:rPr>
              <w:t xml:space="preserve">attività </w:t>
            </w:r>
            <w:r w:rsidR="00491AF2" w:rsidRPr="003F2451">
              <w:rPr>
                <w:rFonts w:ascii="Arial" w:hAnsi="Arial" w:cs="Arial"/>
                <w:b/>
                <w:color w:val="FF0000"/>
                <w:sz w:val="18"/>
                <w:szCs w:val="18"/>
              </w:rPr>
              <w:t xml:space="preserve">di tipo rigth-lateral strike-slip </w:t>
            </w:r>
            <w:r w:rsidR="008E41AE" w:rsidRPr="003F2451">
              <w:rPr>
                <w:rFonts w:ascii="Arial" w:hAnsi="Arial" w:cs="Arial"/>
                <w:b/>
                <w:color w:val="FF0000"/>
                <w:sz w:val="18"/>
                <w:szCs w:val="18"/>
              </w:rPr>
              <w:t xml:space="preserve">di queste faglie </w:t>
            </w:r>
            <w:r w:rsidR="00491AF2" w:rsidRPr="003F2451">
              <w:rPr>
                <w:rFonts w:ascii="Arial" w:hAnsi="Arial" w:cs="Arial"/>
                <w:b/>
                <w:color w:val="FF0000"/>
                <w:sz w:val="18"/>
                <w:szCs w:val="18"/>
              </w:rPr>
              <w:t xml:space="preserve">è testimoniata </w:t>
            </w:r>
            <w:r w:rsidR="006A676C" w:rsidRPr="003F2451">
              <w:rPr>
                <w:rFonts w:ascii="Arial" w:hAnsi="Arial" w:cs="Arial"/>
                <w:b/>
                <w:color w:val="FF0000"/>
                <w:sz w:val="18"/>
                <w:szCs w:val="18"/>
              </w:rPr>
              <w:t>per gli ultimi 35 anni dall’</w:t>
            </w:r>
            <w:r w:rsidR="00D63EC4" w:rsidRPr="003F2451">
              <w:rPr>
                <w:rFonts w:ascii="Arial" w:hAnsi="Arial" w:cs="Arial"/>
                <w:b/>
                <w:color w:val="FF0000"/>
                <w:sz w:val="18"/>
                <w:szCs w:val="18"/>
              </w:rPr>
              <w:t>attività sismica</w:t>
            </w:r>
            <w:r w:rsidR="006A676C" w:rsidRPr="003F2451">
              <w:rPr>
                <w:rFonts w:ascii="Arial" w:hAnsi="Arial" w:cs="Arial"/>
                <w:b/>
                <w:color w:val="FF0000"/>
                <w:sz w:val="18"/>
                <w:szCs w:val="18"/>
              </w:rPr>
              <w:t xml:space="preserve"> riportata nel catalogo http://terremoti.ingv.it </w:t>
            </w:r>
            <w:r w:rsidR="007A3D6F" w:rsidRPr="003F2451">
              <w:rPr>
                <w:rFonts w:ascii="Arial" w:hAnsi="Arial" w:cs="Arial"/>
                <w:b/>
                <w:color w:val="FF0000"/>
                <w:sz w:val="18"/>
                <w:szCs w:val="18"/>
              </w:rPr>
              <w:t xml:space="preserve">e in diversi lavori scientifici </w:t>
            </w:r>
            <w:r w:rsidR="00D63EC4" w:rsidRPr="003F2451">
              <w:rPr>
                <w:rFonts w:ascii="Arial" w:hAnsi="Arial" w:cs="Arial"/>
                <w:b/>
                <w:color w:val="FF0000"/>
                <w:sz w:val="18"/>
                <w:szCs w:val="18"/>
              </w:rPr>
              <w:t xml:space="preserve">(Boschi et al., 2000; Gruppo di Lavoro CPTI, 2004; Pondrelli et al., 2006; Guidoboni et al., 2007) </w:t>
            </w:r>
            <w:r w:rsidR="007A3D6F" w:rsidRPr="003F2451">
              <w:rPr>
                <w:rFonts w:ascii="Arial" w:hAnsi="Arial" w:cs="Arial"/>
                <w:b/>
                <w:color w:val="FF0000"/>
                <w:sz w:val="18"/>
                <w:szCs w:val="18"/>
              </w:rPr>
              <w:t>e mostra una sismicità intermedia in questa regione. Tuttavia, il settore occidentale dell'area è stato colpito da alcuni terremoti rilevanti, tra cui quelli del 13 febbraio 1963 (Mw 5.3, Tito), e del 6 agosto 1954 (Mw 5.3, Pietragalla). Soprattutto, l'area è nota per la sequenza Potentino del 5 maggio 1990-26 maggio 1991 (Mw 5.8 e 5.2, rispettivamente).</w:t>
            </w:r>
            <w:r w:rsidR="008E41AE" w:rsidRPr="003F2451">
              <w:rPr>
                <w:rFonts w:ascii="Arial" w:hAnsi="Arial" w:cs="Arial"/>
                <w:b/>
                <w:color w:val="FF0000"/>
                <w:sz w:val="18"/>
                <w:szCs w:val="18"/>
              </w:rPr>
              <w:t xml:space="preserve"> </w:t>
            </w:r>
            <w:r w:rsidR="007A3D6F" w:rsidRPr="003F2451">
              <w:rPr>
                <w:rFonts w:ascii="Arial" w:hAnsi="Arial" w:cs="Arial"/>
                <w:b/>
                <w:color w:val="FF0000"/>
                <w:sz w:val="18"/>
                <w:szCs w:val="18"/>
              </w:rPr>
              <w:t>R</w:t>
            </w:r>
            <w:r w:rsidR="008E41AE" w:rsidRPr="003F2451">
              <w:rPr>
                <w:rFonts w:ascii="Arial" w:hAnsi="Arial" w:cs="Arial"/>
                <w:b/>
                <w:color w:val="FF0000"/>
                <w:sz w:val="18"/>
                <w:szCs w:val="18"/>
              </w:rPr>
              <w:t>ecentissimo</w:t>
            </w:r>
            <w:r w:rsidR="007A3D6F" w:rsidRPr="003F2451">
              <w:rPr>
                <w:rFonts w:ascii="Arial" w:hAnsi="Arial" w:cs="Arial"/>
                <w:b/>
                <w:color w:val="FF0000"/>
                <w:sz w:val="18"/>
                <w:szCs w:val="18"/>
              </w:rPr>
              <w:t xml:space="preserve"> è il</w:t>
            </w:r>
            <w:r w:rsidR="008E41AE" w:rsidRPr="003F2451">
              <w:rPr>
                <w:rFonts w:ascii="Arial" w:hAnsi="Arial" w:cs="Arial"/>
                <w:b/>
                <w:color w:val="FF0000"/>
                <w:sz w:val="18"/>
                <w:szCs w:val="18"/>
              </w:rPr>
              <w:t xml:space="preserve"> terremoto del 09-11-2018 di magnitudo ML 3.5 il cui epicentr</w:t>
            </w:r>
            <w:r w:rsidR="006A676C" w:rsidRPr="003F2451">
              <w:rPr>
                <w:rFonts w:ascii="Arial" w:hAnsi="Arial" w:cs="Arial"/>
                <w:b/>
                <w:color w:val="FF0000"/>
                <w:sz w:val="18"/>
                <w:szCs w:val="18"/>
              </w:rPr>
              <w:t>o</w:t>
            </w:r>
            <w:r w:rsidR="008E41AE" w:rsidRPr="003F2451">
              <w:rPr>
                <w:rFonts w:ascii="Arial" w:hAnsi="Arial" w:cs="Arial"/>
                <w:b/>
                <w:color w:val="FF0000"/>
                <w:sz w:val="18"/>
                <w:szCs w:val="18"/>
              </w:rPr>
              <w:t xml:space="preserve"> è stato ubicato 3 km NE di Altamura (</w:t>
            </w:r>
            <w:r w:rsidR="00C652F3" w:rsidRPr="003F2451">
              <w:rPr>
                <w:rFonts w:ascii="Arial" w:hAnsi="Arial" w:cs="Arial"/>
                <w:b/>
                <w:color w:val="FF0000"/>
                <w:sz w:val="18"/>
                <w:szCs w:val="18"/>
              </w:rPr>
              <w:t xml:space="preserve">Bollettino Sismico Italiano </w:t>
            </w:r>
            <w:r w:rsidR="008E41AE" w:rsidRPr="003F2451">
              <w:rPr>
                <w:rFonts w:ascii="Arial" w:hAnsi="Arial" w:cs="Arial"/>
                <w:b/>
                <w:color w:val="FF0000"/>
                <w:sz w:val="18"/>
                <w:szCs w:val="18"/>
              </w:rPr>
              <w:t>INGV)</w:t>
            </w:r>
            <w:r w:rsidR="00D63EC4" w:rsidRPr="003F2451">
              <w:rPr>
                <w:rFonts w:ascii="Arial" w:hAnsi="Arial" w:cs="Arial"/>
                <w:b/>
                <w:color w:val="FF0000"/>
                <w:sz w:val="18"/>
                <w:szCs w:val="18"/>
              </w:rPr>
              <w:t>.</w:t>
            </w:r>
            <w:r w:rsidR="004400A5" w:rsidRPr="003F2451">
              <w:rPr>
                <w:rFonts w:ascii="Arial" w:hAnsi="Arial" w:cs="Arial"/>
                <w:b/>
                <w:color w:val="FF0000"/>
                <w:sz w:val="18"/>
                <w:szCs w:val="18"/>
              </w:rPr>
              <w:t xml:space="preserve"> </w:t>
            </w:r>
            <w:r w:rsidR="009A0CC9" w:rsidRPr="003F2451">
              <w:rPr>
                <w:rFonts w:ascii="Arial" w:hAnsi="Arial" w:cs="Arial"/>
                <w:b/>
                <w:color w:val="FF0000"/>
                <w:sz w:val="18"/>
                <w:szCs w:val="18"/>
              </w:rPr>
              <w:t xml:space="preserve">A </w:t>
            </w:r>
            <w:r w:rsidR="00F955FE" w:rsidRPr="003F2451">
              <w:rPr>
                <w:rFonts w:ascii="Arial" w:hAnsi="Arial" w:cs="Arial"/>
                <w:b/>
                <w:color w:val="FF0000"/>
                <w:sz w:val="18"/>
                <w:szCs w:val="18"/>
              </w:rPr>
              <w:t xml:space="preserve">ulteriore </w:t>
            </w:r>
            <w:r w:rsidR="009A0CC9" w:rsidRPr="003F2451">
              <w:rPr>
                <w:rFonts w:ascii="Arial" w:hAnsi="Arial" w:cs="Arial"/>
                <w:b/>
                <w:color w:val="FF0000"/>
                <w:sz w:val="18"/>
                <w:szCs w:val="18"/>
              </w:rPr>
              <w:t>sostegno dell’inconsistenza degli st</w:t>
            </w:r>
            <w:r w:rsidR="00F955FE" w:rsidRPr="003F2451">
              <w:rPr>
                <w:rFonts w:ascii="Arial" w:hAnsi="Arial" w:cs="Arial"/>
                <w:b/>
                <w:color w:val="FF0000"/>
                <w:sz w:val="18"/>
                <w:szCs w:val="18"/>
              </w:rPr>
              <w:t>udi condotti da SOGIN</w:t>
            </w:r>
            <w:r w:rsidR="009D0AEB" w:rsidRPr="003F2451">
              <w:rPr>
                <w:rFonts w:ascii="Arial" w:hAnsi="Arial" w:cs="Arial"/>
                <w:b/>
                <w:color w:val="FF0000"/>
                <w:sz w:val="18"/>
                <w:szCs w:val="18"/>
              </w:rPr>
              <w:t xml:space="preserve"> sulla tematica di esclusione in oggetto</w:t>
            </w:r>
            <w:r w:rsidR="00F955FE" w:rsidRPr="003F2451">
              <w:rPr>
                <w:rFonts w:ascii="Arial" w:hAnsi="Arial" w:cs="Arial"/>
                <w:b/>
                <w:color w:val="FF0000"/>
                <w:sz w:val="18"/>
                <w:szCs w:val="18"/>
              </w:rPr>
              <w:t xml:space="preserve"> si </w:t>
            </w:r>
            <w:r w:rsidR="00F955FE" w:rsidRPr="003F2451">
              <w:rPr>
                <w:rFonts w:ascii="Arial" w:hAnsi="Arial" w:cs="Arial"/>
                <w:bCs/>
                <w:color w:val="FF0000"/>
                <w:sz w:val="18"/>
                <w:szCs w:val="18"/>
              </w:rPr>
              <w:t>riporta quanto dichiarato</w:t>
            </w:r>
            <w:r w:rsidR="009D0AEB" w:rsidRPr="003F2451">
              <w:rPr>
                <w:rFonts w:ascii="Arial" w:hAnsi="Arial" w:cs="Arial"/>
                <w:bCs/>
                <w:color w:val="FF0000"/>
                <w:sz w:val="18"/>
                <w:szCs w:val="18"/>
              </w:rPr>
              <w:t xml:space="preserve"> nel sito ITHACA dell’ISPRA </w:t>
            </w:r>
            <w:hyperlink r:id="rId12" w:history="1">
              <w:r w:rsidR="009D0AEB" w:rsidRPr="003F2451">
                <w:rPr>
                  <w:rStyle w:val="Collegamentoipertestuale"/>
                  <w:rFonts w:ascii="Arial" w:eastAsia="Cambria" w:hAnsi="Arial" w:cs="Arial"/>
                  <w:sz w:val="18"/>
                  <w:szCs w:val="18"/>
                </w:rPr>
                <w:t>http://sgi2.isprambiente.it/ithacaweb/Mappatura.aspx</w:t>
              </w:r>
            </w:hyperlink>
            <w:r w:rsidR="009D0AEB" w:rsidRPr="003F2451">
              <w:rPr>
                <w:rFonts w:ascii="Arial" w:eastAsia="Cambria" w:hAnsi="Arial" w:cs="Arial"/>
                <w:color w:val="000000"/>
                <w:sz w:val="18"/>
                <w:szCs w:val="18"/>
              </w:rPr>
              <w:t xml:space="preserve">, </w:t>
            </w:r>
            <w:r w:rsidR="009D0AEB" w:rsidRPr="003F2451">
              <w:rPr>
                <w:rFonts w:ascii="Arial" w:hAnsi="Arial" w:cs="Arial"/>
                <w:bCs/>
                <w:color w:val="FF0000"/>
                <w:sz w:val="18"/>
                <w:szCs w:val="18"/>
              </w:rPr>
              <w:t xml:space="preserve">utilizzato SOGIN e cui rimanda </w:t>
            </w:r>
            <w:r w:rsidR="00F955FE" w:rsidRPr="003F2451">
              <w:rPr>
                <w:rFonts w:ascii="Arial" w:hAnsi="Arial" w:cs="Arial"/>
                <w:bCs/>
                <w:color w:val="FF0000"/>
                <w:sz w:val="18"/>
                <w:szCs w:val="18"/>
              </w:rPr>
              <w:t xml:space="preserve">la Relazione Tecnica SOGIN DN GS 00304, Revisione 2 CE3 - Esclusione delle aree interessate da fenomeni di fagliazione: </w:t>
            </w:r>
            <w:r w:rsidR="00F955FE" w:rsidRPr="003F2451">
              <w:rPr>
                <w:rFonts w:ascii="Arial" w:hAnsi="Arial" w:cs="Arial"/>
                <w:b/>
                <w:bCs/>
                <w:color w:val="FF0000"/>
                <w:sz w:val="18"/>
                <w:szCs w:val="18"/>
              </w:rPr>
              <w:t>“… si declina ogni responsabilità in merito ad un utilizzo, tal quale, delle informazioni contenute in ITHACA</w:t>
            </w:r>
            <w:r w:rsidR="00F955FE" w:rsidRPr="003F2451">
              <w:rPr>
                <w:rFonts w:ascii="Arial" w:hAnsi="Arial" w:cs="Arial"/>
                <w:bCs/>
                <w:color w:val="FF0000"/>
                <w:sz w:val="18"/>
                <w:szCs w:val="18"/>
              </w:rPr>
              <w:t xml:space="preserve"> per gli studi di microzonazione sismica e </w:t>
            </w:r>
            <w:r w:rsidR="00F955FE" w:rsidRPr="003F2451">
              <w:rPr>
                <w:rFonts w:ascii="Arial" w:hAnsi="Arial" w:cs="Arial"/>
                <w:b/>
                <w:bCs/>
                <w:color w:val="FF0000"/>
                <w:sz w:val="18"/>
                <w:szCs w:val="18"/>
              </w:rPr>
              <w:t>per la caratterizzazione di dettaglio della pericolosità da fagliazione superficiale, senza le necessarie verifiche e approfondimenti, con indagini e procedure specifiche e codificate”.</w:t>
            </w:r>
            <w:r w:rsidR="009A0CC9" w:rsidRPr="003F2451">
              <w:rPr>
                <w:rFonts w:ascii="Arial" w:hAnsi="Arial" w:cs="Arial"/>
                <w:b/>
                <w:color w:val="FF0000"/>
                <w:sz w:val="18"/>
                <w:szCs w:val="18"/>
              </w:rPr>
              <w:t xml:space="preserve"> </w:t>
            </w:r>
          </w:p>
        </w:tc>
      </w:tr>
      <w:tr w:rsidR="00155128" w:rsidRPr="008E41AE" w:rsidTr="00C24F6B">
        <w:trPr>
          <w:trHeight w:val="567"/>
        </w:trPr>
        <w:tc>
          <w:tcPr>
            <w:tcW w:w="2943" w:type="dxa"/>
            <w:vAlign w:val="center"/>
          </w:tcPr>
          <w:p w:rsidR="00155128" w:rsidRDefault="00155128" w:rsidP="00C24F6B">
            <w:pPr>
              <w:pStyle w:val="LABELSEMPLICI"/>
            </w:pPr>
            <w:r>
              <w:lastRenderedPageBreak/>
              <w:t xml:space="preserve">MOVIMENTI VERTICALI </w:t>
            </w:r>
            <w:r w:rsidR="0061558E">
              <w:t>S</w:t>
            </w:r>
            <w:r w:rsidR="0061558E">
              <w:t>I</w:t>
            </w:r>
            <w:r w:rsidR="0061558E">
              <w:t xml:space="preserve">GNIFICATIVI </w:t>
            </w:r>
            <w:r>
              <w:t xml:space="preserve">DEL SUOLO </w:t>
            </w:r>
          </w:p>
        </w:tc>
        <w:tc>
          <w:tcPr>
            <w:tcW w:w="6266" w:type="dxa"/>
            <w:shd w:val="clear" w:color="auto" w:fill="FFFFFF"/>
            <w:vAlign w:val="center"/>
          </w:tcPr>
          <w:p w:rsidR="00155128" w:rsidRPr="003F2451" w:rsidRDefault="0013694D" w:rsidP="00780023">
            <w:pPr>
              <w:pStyle w:val="CAMPI"/>
              <w:jc w:val="both"/>
              <w:rPr>
                <w:rFonts w:cs="Arial"/>
                <w:color w:val="0F243E" w:themeColor="text2" w:themeShade="80"/>
                <w:szCs w:val="18"/>
              </w:rPr>
            </w:pPr>
            <w:r w:rsidRPr="003F2451">
              <w:rPr>
                <w:rFonts w:cs="Arial"/>
                <w:b/>
                <w:color w:val="0F243E" w:themeColor="text2" w:themeShade="80"/>
                <w:szCs w:val="18"/>
              </w:rPr>
              <w:t xml:space="preserve">Dalla Relazione Tecnica SOGIN DN GS 00102, Revisione 04 del 30-12-2020, si evince che </w:t>
            </w:r>
            <w:r w:rsidR="004D1BEB" w:rsidRPr="003F2451">
              <w:rPr>
                <w:rFonts w:cs="Arial"/>
                <w:b/>
                <w:color w:val="0F243E" w:themeColor="text2" w:themeShade="80"/>
                <w:szCs w:val="18"/>
              </w:rPr>
              <w:t>lo studio</w:t>
            </w:r>
            <w:r w:rsidRPr="003F2451">
              <w:rPr>
                <w:rFonts w:cs="Arial"/>
                <w:b/>
                <w:color w:val="0F243E" w:themeColor="text2" w:themeShade="80"/>
                <w:szCs w:val="18"/>
              </w:rPr>
              <w:t xml:space="preserve"> sugli spostamenti del suolo è stat</w:t>
            </w:r>
            <w:r w:rsidR="004D1BEB" w:rsidRPr="003F2451">
              <w:rPr>
                <w:rFonts w:cs="Arial"/>
                <w:b/>
                <w:color w:val="0F243E" w:themeColor="text2" w:themeShade="80"/>
                <w:szCs w:val="18"/>
              </w:rPr>
              <w:t>o</w:t>
            </w:r>
            <w:r w:rsidRPr="003F2451">
              <w:rPr>
                <w:rFonts w:cs="Arial"/>
                <w:b/>
                <w:color w:val="0F243E" w:themeColor="text2" w:themeShade="80"/>
                <w:szCs w:val="18"/>
              </w:rPr>
              <w:t xml:space="preserve"> co</w:t>
            </w:r>
            <w:r w:rsidRPr="003F2451">
              <w:rPr>
                <w:rFonts w:cs="Arial"/>
                <w:b/>
                <w:color w:val="0F243E" w:themeColor="text2" w:themeShade="80"/>
                <w:szCs w:val="18"/>
              </w:rPr>
              <w:t>n</w:t>
            </w:r>
            <w:r w:rsidRPr="003F2451">
              <w:rPr>
                <w:rFonts w:cs="Arial"/>
                <w:b/>
                <w:color w:val="0F243E" w:themeColor="text2" w:themeShade="80"/>
                <w:szCs w:val="18"/>
              </w:rPr>
              <w:t>dott</w:t>
            </w:r>
            <w:r w:rsidR="004D1BEB" w:rsidRPr="003F2451">
              <w:rPr>
                <w:rFonts w:cs="Arial"/>
                <w:b/>
                <w:color w:val="0F243E" w:themeColor="text2" w:themeShade="80"/>
                <w:szCs w:val="18"/>
              </w:rPr>
              <w:t>o</w:t>
            </w:r>
            <w:r w:rsidRPr="003F2451">
              <w:rPr>
                <w:rFonts w:cs="Arial"/>
                <w:b/>
                <w:color w:val="0F243E" w:themeColor="text2" w:themeShade="80"/>
                <w:szCs w:val="18"/>
              </w:rPr>
              <w:t xml:space="preserve"> da SOGIN utilizzando dati ottenuti con la tecnica interferometr</w:t>
            </w:r>
            <w:r w:rsidRPr="003F2451">
              <w:rPr>
                <w:rFonts w:cs="Arial"/>
                <w:b/>
                <w:color w:val="0F243E" w:themeColor="text2" w:themeShade="80"/>
                <w:szCs w:val="18"/>
              </w:rPr>
              <w:t>i</w:t>
            </w:r>
            <w:r w:rsidRPr="003F2451">
              <w:rPr>
                <w:rFonts w:cs="Arial"/>
                <w:b/>
                <w:color w:val="0F243E" w:themeColor="text2" w:themeShade="80"/>
                <w:szCs w:val="18"/>
              </w:rPr>
              <w:t xml:space="preserve">ca satellitare dei </w:t>
            </w:r>
            <w:r w:rsidRPr="003F2451">
              <w:rPr>
                <w:rFonts w:cs="Arial"/>
                <w:b/>
                <w:i/>
                <w:iCs/>
                <w:color w:val="0F243E" w:themeColor="text2" w:themeShade="80"/>
                <w:szCs w:val="18"/>
              </w:rPr>
              <w:t xml:space="preserve">Permanent Scatterers </w:t>
            </w:r>
            <w:r w:rsidRPr="003F2451">
              <w:rPr>
                <w:rFonts w:cs="Arial"/>
                <w:b/>
                <w:color w:val="0F243E" w:themeColor="text2" w:themeShade="80"/>
                <w:szCs w:val="18"/>
              </w:rPr>
              <w:t>(PS TECNICA PS-INSAR™), in corrispondenza delle aree considerate “non escluse” dalle analisi di 5° livello.</w:t>
            </w:r>
            <w:r w:rsidRPr="003F2451">
              <w:rPr>
                <w:rFonts w:cs="Arial"/>
                <w:color w:val="0F243E" w:themeColor="text2" w:themeShade="80"/>
                <w:szCs w:val="18"/>
              </w:rPr>
              <w:t xml:space="preserve"> I dati utilizzati sono stati forniti dal Ministero dell’Ambiente e della Tutela del Territorio e del Mare (MATTM) e rappresentano parte di quanto acquisito dal MATTM in base al Piano Straordinario di Telerilevamento A</w:t>
            </w:r>
            <w:r w:rsidRPr="003F2451">
              <w:rPr>
                <w:rFonts w:cs="Arial"/>
                <w:color w:val="0F243E" w:themeColor="text2" w:themeShade="80"/>
                <w:szCs w:val="18"/>
              </w:rPr>
              <w:t>m</w:t>
            </w:r>
            <w:r w:rsidRPr="003F2451">
              <w:rPr>
                <w:rFonts w:cs="Arial"/>
                <w:color w:val="0F243E" w:themeColor="text2" w:themeShade="80"/>
                <w:szCs w:val="18"/>
              </w:rPr>
              <w:t xml:space="preserve">bientale (PST-A) [™ TRE, Tele Rilevamento Europa]. </w:t>
            </w:r>
            <w:r w:rsidRPr="003F2451">
              <w:rPr>
                <w:rFonts w:cs="Arial"/>
                <w:b/>
                <w:color w:val="0F243E" w:themeColor="text2" w:themeShade="80"/>
                <w:szCs w:val="18"/>
              </w:rPr>
              <w:t>Nello specifico, si tratta di dati provenienti dai sensori ERS ed ENVISAT</w:t>
            </w:r>
            <w:r w:rsidR="001D383F" w:rsidRPr="003F2451">
              <w:rPr>
                <w:rFonts w:cs="Arial"/>
                <w:b/>
                <w:color w:val="0F243E" w:themeColor="text2" w:themeShade="80"/>
                <w:szCs w:val="18"/>
              </w:rPr>
              <w:t xml:space="preserve"> (orbite asce</w:t>
            </w:r>
            <w:r w:rsidR="001D383F" w:rsidRPr="003F2451">
              <w:rPr>
                <w:rFonts w:cs="Arial"/>
                <w:b/>
                <w:color w:val="0F243E" w:themeColor="text2" w:themeShade="80"/>
                <w:szCs w:val="18"/>
              </w:rPr>
              <w:t>n</w:t>
            </w:r>
            <w:r w:rsidR="001D383F" w:rsidRPr="003F2451">
              <w:rPr>
                <w:rFonts w:cs="Arial"/>
                <w:b/>
                <w:color w:val="0F243E" w:themeColor="text2" w:themeShade="80"/>
                <w:szCs w:val="18"/>
              </w:rPr>
              <w:t>dente e discendente)</w:t>
            </w:r>
            <w:r w:rsidRPr="003F2451">
              <w:rPr>
                <w:rFonts w:cs="Arial"/>
                <w:b/>
                <w:color w:val="0F243E" w:themeColor="text2" w:themeShade="80"/>
                <w:szCs w:val="18"/>
              </w:rPr>
              <w:t>, il primo operativo nel periodo 1992-2000, il s</w:t>
            </w:r>
            <w:r w:rsidRPr="003F2451">
              <w:rPr>
                <w:rFonts w:cs="Arial"/>
                <w:b/>
                <w:color w:val="0F243E" w:themeColor="text2" w:themeShade="80"/>
                <w:szCs w:val="18"/>
              </w:rPr>
              <w:t>e</w:t>
            </w:r>
            <w:r w:rsidRPr="003F2451">
              <w:rPr>
                <w:rFonts w:cs="Arial"/>
                <w:b/>
                <w:color w:val="0F243E" w:themeColor="text2" w:themeShade="80"/>
                <w:szCs w:val="18"/>
              </w:rPr>
              <w:t>condo nel periodo 2003-2010.</w:t>
            </w:r>
            <w:r w:rsidR="00133860" w:rsidRPr="003F2451">
              <w:rPr>
                <w:rFonts w:cs="Arial"/>
                <w:color w:val="0F243E" w:themeColor="text2" w:themeShade="80"/>
                <w:szCs w:val="18"/>
              </w:rPr>
              <w:t xml:space="preserve"> </w:t>
            </w:r>
            <w:r w:rsidR="00A107A3" w:rsidRPr="003F2451">
              <w:rPr>
                <w:rFonts w:cs="Arial"/>
                <w:color w:val="0F243E" w:themeColor="text2" w:themeShade="80"/>
                <w:szCs w:val="18"/>
              </w:rPr>
              <w:t xml:space="preserve"> </w:t>
            </w:r>
            <w:r w:rsidR="00A107A3" w:rsidRPr="003F2451">
              <w:rPr>
                <w:rFonts w:cs="Arial"/>
                <w:color w:val="FF0000"/>
                <w:szCs w:val="18"/>
              </w:rPr>
              <w:t>Osservazioni:</w:t>
            </w:r>
            <w:r w:rsidR="00906C57" w:rsidRPr="003F2451">
              <w:rPr>
                <w:rFonts w:cs="Arial"/>
                <w:color w:val="FF0000"/>
                <w:szCs w:val="18"/>
              </w:rPr>
              <w:t xml:space="preserve"> </w:t>
            </w:r>
            <w:r w:rsidR="00906C57" w:rsidRPr="003F2451">
              <w:rPr>
                <w:rFonts w:cs="Arial"/>
                <w:b/>
                <w:color w:val="FF0000"/>
                <w:szCs w:val="18"/>
              </w:rPr>
              <w:t xml:space="preserve">Premesso che i movimenti del suolo (verticali e orizzontali) sono indicatori fondamentali per la comprensione del quadro geodinamico di un’area </w:t>
            </w:r>
            <w:r w:rsidR="006E6CBC" w:rsidRPr="003F2451">
              <w:rPr>
                <w:rFonts w:cs="Arial"/>
                <w:b/>
                <w:color w:val="FF0000"/>
                <w:szCs w:val="18"/>
              </w:rPr>
              <w:t>e dell’attività delle faglie in esso presenti</w:t>
            </w:r>
            <w:r w:rsidR="006E6CBC" w:rsidRPr="003F2451">
              <w:rPr>
                <w:rFonts w:cs="Arial"/>
                <w:color w:val="FF0000"/>
                <w:szCs w:val="18"/>
              </w:rPr>
              <w:t xml:space="preserve"> si precisa che</w:t>
            </w:r>
            <w:r w:rsidR="00A107A3" w:rsidRPr="003F2451">
              <w:rPr>
                <w:rFonts w:cs="Arial"/>
                <w:color w:val="FF0000"/>
                <w:szCs w:val="18"/>
              </w:rPr>
              <w:t xml:space="preserve"> </w:t>
            </w:r>
            <w:r w:rsidR="000D7685" w:rsidRPr="003F2451">
              <w:rPr>
                <w:rFonts w:cs="Arial"/>
                <w:b/>
                <w:color w:val="FF0000"/>
                <w:szCs w:val="18"/>
              </w:rPr>
              <w:t xml:space="preserve">nel § 16.2.4 </w:t>
            </w:r>
            <w:r w:rsidR="00906C57" w:rsidRPr="003F2451">
              <w:rPr>
                <w:rFonts w:cs="Arial"/>
                <w:b/>
                <w:color w:val="FF0000"/>
                <w:szCs w:val="18"/>
              </w:rPr>
              <w:t>(</w:t>
            </w:r>
            <w:r w:rsidR="000D7685" w:rsidRPr="003F2451">
              <w:rPr>
                <w:rFonts w:cs="Arial"/>
                <w:b/>
                <w:color w:val="FF0000"/>
                <w:szCs w:val="18"/>
              </w:rPr>
              <w:t>Risultati e conclusi</w:t>
            </w:r>
            <w:r w:rsidR="000D7685" w:rsidRPr="003F2451">
              <w:rPr>
                <w:rFonts w:cs="Arial"/>
                <w:b/>
                <w:color w:val="FF0000"/>
                <w:szCs w:val="18"/>
              </w:rPr>
              <w:t>o</w:t>
            </w:r>
            <w:r w:rsidR="000D7685" w:rsidRPr="003F2451">
              <w:rPr>
                <w:rFonts w:cs="Arial"/>
                <w:b/>
                <w:color w:val="FF0000"/>
                <w:szCs w:val="18"/>
              </w:rPr>
              <w:t>ni</w:t>
            </w:r>
            <w:r w:rsidR="00906C57" w:rsidRPr="003F2451">
              <w:rPr>
                <w:rFonts w:cs="Arial"/>
                <w:b/>
                <w:color w:val="FF0000"/>
                <w:szCs w:val="18"/>
              </w:rPr>
              <w:t>)</w:t>
            </w:r>
            <w:r w:rsidR="000D7685" w:rsidRPr="003F2451">
              <w:rPr>
                <w:rFonts w:cs="Arial"/>
                <w:b/>
                <w:color w:val="FF0000"/>
                <w:szCs w:val="18"/>
              </w:rPr>
              <w:t xml:space="preserve"> della suddetta relazione si riportano i risultati</w:t>
            </w:r>
            <w:r w:rsidR="000D7685" w:rsidRPr="003F2451">
              <w:rPr>
                <w:rFonts w:cs="Arial"/>
                <w:color w:val="FF0000"/>
                <w:szCs w:val="18"/>
              </w:rPr>
              <w:t xml:space="preserve"> ottenuti dalla scomp</w:t>
            </w:r>
            <w:r w:rsidR="000D7685" w:rsidRPr="003F2451">
              <w:rPr>
                <w:rFonts w:cs="Arial"/>
                <w:color w:val="FF0000"/>
                <w:szCs w:val="18"/>
              </w:rPr>
              <w:t>o</w:t>
            </w:r>
            <w:r w:rsidR="000D7685" w:rsidRPr="003F2451">
              <w:rPr>
                <w:rFonts w:cs="Arial"/>
                <w:color w:val="FF0000"/>
                <w:szCs w:val="18"/>
              </w:rPr>
              <w:t xml:space="preserve">sizione (cfr. paragrafo 16.2.3) dei dati ascendenti e discendenti dei sensori ERS ed ENVISAT. In considerazione della maggiore affidabilità del metodo nel rilevare movimenti di tipo verticale, nonché della localizzazione delle aree, poste in prevalenza in zone subpianeggianti, i risultati discussi </w:t>
            </w:r>
            <w:r w:rsidR="000D7685" w:rsidRPr="003F2451">
              <w:rPr>
                <w:rFonts w:cs="Arial"/>
                <w:b/>
                <w:color w:val="FF0000"/>
                <w:szCs w:val="18"/>
              </w:rPr>
              <w:t>r</w:t>
            </w:r>
            <w:r w:rsidR="000D7685" w:rsidRPr="003F2451">
              <w:rPr>
                <w:rFonts w:cs="Arial"/>
                <w:b/>
                <w:color w:val="FF0000"/>
                <w:szCs w:val="18"/>
              </w:rPr>
              <w:t>i</w:t>
            </w:r>
            <w:r w:rsidR="000D7685" w:rsidRPr="003F2451">
              <w:rPr>
                <w:rFonts w:cs="Arial"/>
                <w:b/>
                <w:color w:val="FF0000"/>
                <w:szCs w:val="18"/>
              </w:rPr>
              <w:t>guardano sol</w:t>
            </w:r>
            <w:r w:rsidR="00E36A61" w:rsidRPr="003F2451">
              <w:rPr>
                <w:rFonts w:cs="Arial"/>
                <w:b/>
                <w:color w:val="FF0000"/>
                <w:szCs w:val="18"/>
              </w:rPr>
              <w:t>o gli</w:t>
            </w:r>
            <w:r w:rsidR="000D7685" w:rsidRPr="003F2451">
              <w:rPr>
                <w:rFonts w:cs="Arial"/>
                <w:b/>
                <w:color w:val="FF0000"/>
                <w:szCs w:val="18"/>
              </w:rPr>
              <w:t xml:space="preserve"> spostamenti verticali</w:t>
            </w:r>
            <w:r w:rsidR="000D7685" w:rsidRPr="003F2451">
              <w:rPr>
                <w:rFonts w:cs="Arial"/>
                <w:color w:val="FF0000"/>
                <w:szCs w:val="18"/>
              </w:rPr>
              <w:t>.</w:t>
            </w:r>
            <w:r w:rsidR="00E36A61" w:rsidRPr="003F2451">
              <w:rPr>
                <w:rFonts w:cs="Arial"/>
                <w:color w:val="FF0000"/>
                <w:szCs w:val="18"/>
              </w:rPr>
              <w:t xml:space="preserve"> In particolare</w:t>
            </w:r>
            <w:r w:rsidR="00E36A61" w:rsidRPr="003F2451">
              <w:rPr>
                <w:rFonts w:cs="Arial"/>
                <w:b/>
                <w:color w:val="FF0000"/>
                <w:szCs w:val="18"/>
              </w:rPr>
              <w:t xml:space="preserve"> per la </w:t>
            </w:r>
            <w:r w:rsidR="00E36A61" w:rsidRPr="003F2451">
              <w:rPr>
                <w:rFonts w:cs="Arial"/>
                <w:b/>
                <w:i/>
                <w:iCs/>
                <w:color w:val="FF0000"/>
                <w:szCs w:val="18"/>
              </w:rPr>
              <w:t>Macro-area Sud</w:t>
            </w:r>
            <w:r w:rsidR="00E36A61" w:rsidRPr="003F2451">
              <w:rPr>
                <w:rFonts w:cs="Arial"/>
                <w:b/>
                <w:iCs/>
                <w:color w:val="FF0000"/>
                <w:szCs w:val="18"/>
              </w:rPr>
              <w:t>, quella che include i potenziali siti Pugliesi e Lucani</w:t>
            </w:r>
            <w:r w:rsidR="00E36A61" w:rsidRPr="003F2451">
              <w:rPr>
                <w:rFonts w:cs="Arial"/>
                <w:iCs/>
                <w:color w:val="FF0000"/>
                <w:szCs w:val="18"/>
              </w:rPr>
              <w:t xml:space="preserve">, si evince che </w:t>
            </w:r>
            <w:r w:rsidR="00F621E5" w:rsidRPr="003F2451">
              <w:rPr>
                <w:rFonts w:cs="Arial"/>
                <w:b/>
                <w:iCs/>
                <w:color w:val="FF0000"/>
                <w:szCs w:val="18"/>
              </w:rPr>
              <w:t>il dataset scomposto</w:t>
            </w:r>
            <w:r w:rsidR="00F621E5" w:rsidRPr="003F2451">
              <w:rPr>
                <w:rFonts w:cs="Arial"/>
                <w:iCs/>
                <w:color w:val="FF0000"/>
                <w:szCs w:val="18"/>
              </w:rPr>
              <w:t xml:space="preserve"> </w:t>
            </w:r>
            <w:r w:rsidR="00E36A61" w:rsidRPr="003F2451">
              <w:rPr>
                <w:rFonts w:cs="Arial"/>
                <w:b/>
                <w:iCs/>
                <w:color w:val="FF0000"/>
                <w:szCs w:val="18"/>
              </w:rPr>
              <w:t>non ha la completa copertura da parte sia del sensore ERS sia di quello ENVISAT</w:t>
            </w:r>
            <w:r w:rsidR="001420BB" w:rsidRPr="003F2451">
              <w:rPr>
                <w:rFonts w:cs="Arial"/>
                <w:b/>
                <w:iCs/>
                <w:color w:val="FF0000"/>
                <w:szCs w:val="18"/>
              </w:rPr>
              <w:t xml:space="preserve"> (mancano i dati dell’orbita disce</w:t>
            </w:r>
            <w:r w:rsidR="001420BB" w:rsidRPr="003F2451">
              <w:rPr>
                <w:rFonts w:cs="Arial"/>
                <w:b/>
                <w:iCs/>
                <w:color w:val="FF0000"/>
                <w:szCs w:val="18"/>
              </w:rPr>
              <w:t>n</w:t>
            </w:r>
            <w:r w:rsidR="001420BB" w:rsidRPr="003F2451">
              <w:rPr>
                <w:rFonts w:cs="Arial"/>
                <w:b/>
                <w:iCs/>
                <w:color w:val="FF0000"/>
                <w:szCs w:val="18"/>
              </w:rPr>
              <w:t>dente)</w:t>
            </w:r>
            <w:r w:rsidR="00F621E5" w:rsidRPr="003F2451">
              <w:rPr>
                <w:rFonts w:cs="Arial"/>
                <w:b/>
                <w:iCs/>
                <w:color w:val="FF0000"/>
                <w:szCs w:val="18"/>
              </w:rPr>
              <w:t xml:space="preserve"> e ciò, inevitabilmente, comporta un minore affidabilità dei risu</w:t>
            </w:r>
            <w:r w:rsidR="00F621E5" w:rsidRPr="003F2451">
              <w:rPr>
                <w:rFonts w:cs="Arial"/>
                <w:b/>
                <w:iCs/>
                <w:color w:val="FF0000"/>
                <w:szCs w:val="18"/>
              </w:rPr>
              <w:t>l</w:t>
            </w:r>
            <w:r w:rsidR="00F621E5" w:rsidRPr="003F2451">
              <w:rPr>
                <w:rFonts w:cs="Arial"/>
                <w:b/>
                <w:iCs/>
                <w:color w:val="FF0000"/>
                <w:szCs w:val="18"/>
              </w:rPr>
              <w:t>tati e delle conclusioni SOGIN</w:t>
            </w:r>
            <w:r w:rsidR="00CA2769" w:rsidRPr="003F2451">
              <w:rPr>
                <w:rFonts w:cs="Arial"/>
                <w:b/>
                <w:iCs/>
                <w:color w:val="FF0000"/>
                <w:szCs w:val="18"/>
              </w:rPr>
              <w:t xml:space="preserve">. </w:t>
            </w:r>
            <w:r w:rsidR="00CA2769" w:rsidRPr="003F2451">
              <w:rPr>
                <w:rFonts w:cs="Arial"/>
                <w:iCs/>
                <w:color w:val="FF0000"/>
                <w:szCs w:val="18"/>
              </w:rPr>
              <w:t>A fronte di ciò, tuttavia,</w:t>
            </w:r>
            <w:r w:rsidR="00CA2769" w:rsidRPr="003F2451">
              <w:rPr>
                <w:rFonts w:cs="Arial"/>
                <w:b/>
                <w:iCs/>
                <w:color w:val="FF0000"/>
                <w:szCs w:val="18"/>
              </w:rPr>
              <w:t xml:space="preserve"> SOGIN riconosce l’esistenza di un significativo fenomeno di subsidenza (tra -10 e -20 mm/anno)</w:t>
            </w:r>
            <w:r w:rsidR="005018BF" w:rsidRPr="003F2451">
              <w:rPr>
                <w:rFonts w:cs="Arial"/>
                <w:b/>
                <w:iCs/>
                <w:color w:val="FF0000"/>
                <w:szCs w:val="18"/>
              </w:rPr>
              <w:t xml:space="preserve"> nell’area foggiana della Capitanata. </w:t>
            </w:r>
            <w:r w:rsidR="00780023" w:rsidRPr="003F2451">
              <w:rPr>
                <w:rFonts w:cs="Arial"/>
                <w:b/>
                <w:iCs/>
                <w:color w:val="FF0000"/>
                <w:szCs w:val="18"/>
              </w:rPr>
              <w:t>Poco o n</w:t>
            </w:r>
            <w:r w:rsidR="005018BF" w:rsidRPr="003F2451">
              <w:rPr>
                <w:rFonts w:cs="Arial"/>
                <w:b/>
                <w:iCs/>
                <w:color w:val="FF0000"/>
                <w:szCs w:val="18"/>
              </w:rPr>
              <w:t>ulla viene de</w:t>
            </w:r>
            <w:r w:rsidR="005018BF" w:rsidRPr="003F2451">
              <w:rPr>
                <w:rFonts w:cs="Arial"/>
                <w:b/>
                <w:iCs/>
                <w:color w:val="FF0000"/>
                <w:szCs w:val="18"/>
              </w:rPr>
              <w:t>t</w:t>
            </w:r>
            <w:r w:rsidR="005018BF" w:rsidRPr="003F2451">
              <w:rPr>
                <w:rFonts w:cs="Arial"/>
                <w:b/>
                <w:iCs/>
                <w:color w:val="FF0000"/>
                <w:szCs w:val="18"/>
              </w:rPr>
              <w:t xml:space="preserve">to, invece, riguardo </w:t>
            </w:r>
            <w:r w:rsidR="006E6CBC" w:rsidRPr="003F2451">
              <w:rPr>
                <w:rFonts w:cs="Arial"/>
                <w:b/>
                <w:iCs/>
                <w:color w:val="FF0000"/>
                <w:szCs w:val="18"/>
              </w:rPr>
              <w:t>l’entità e  le direzioni de</w:t>
            </w:r>
            <w:r w:rsidR="005018BF" w:rsidRPr="003F2451">
              <w:rPr>
                <w:rFonts w:cs="Arial"/>
                <w:b/>
                <w:iCs/>
                <w:color w:val="FF0000"/>
                <w:szCs w:val="18"/>
              </w:rPr>
              <w:t>i movimenti orizzontali</w:t>
            </w:r>
            <w:r w:rsidR="00DD6C6A" w:rsidRPr="003F2451">
              <w:rPr>
                <w:rFonts w:cs="Arial"/>
                <w:b/>
                <w:iCs/>
                <w:color w:val="FF0000"/>
                <w:szCs w:val="18"/>
              </w:rPr>
              <w:t xml:space="preserve"> </w:t>
            </w:r>
            <w:r w:rsidR="005018BF" w:rsidRPr="003F2451">
              <w:rPr>
                <w:rFonts w:cs="Arial"/>
                <w:b/>
                <w:iCs/>
                <w:color w:val="FF0000"/>
                <w:szCs w:val="18"/>
              </w:rPr>
              <w:t xml:space="preserve">del suolo </w:t>
            </w:r>
            <w:r w:rsidR="00DD6C6A" w:rsidRPr="003F2451">
              <w:rPr>
                <w:rFonts w:cs="Arial"/>
                <w:b/>
                <w:iCs/>
                <w:color w:val="FF0000"/>
                <w:szCs w:val="18"/>
              </w:rPr>
              <w:t>di ordine mm (Devoti, R. et al., 2008; Ferranti L. et al., 2014; B</w:t>
            </w:r>
            <w:r w:rsidR="00DD6C6A" w:rsidRPr="003F2451">
              <w:rPr>
                <w:rFonts w:cs="Arial"/>
                <w:b/>
                <w:iCs/>
                <w:color w:val="FF0000"/>
                <w:szCs w:val="18"/>
              </w:rPr>
              <w:t>o</w:t>
            </w:r>
            <w:r w:rsidR="00DD6C6A" w:rsidRPr="003F2451">
              <w:rPr>
                <w:rFonts w:cs="Arial"/>
                <w:b/>
                <w:iCs/>
                <w:color w:val="FF0000"/>
                <w:szCs w:val="18"/>
              </w:rPr>
              <w:t xml:space="preserve">nini M. et al., 2011) </w:t>
            </w:r>
            <w:r w:rsidR="005018BF" w:rsidRPr="003F2451">
              <w:rPr>
                <w:rFonts w:cs="Arial"/>
                <w:b/>
                <w:iCs/>
                <w:color w:val="FF0000"/>
                <w:szCs w:val="18"/>
              </w:rPr>
              <w:t>che, per quanto non considerati nel CA2</w:t>
            </w:r>
            <w:r w:rsidR="00906C57" w:rsidRPr="003F2451">
              <w:rPr>
                <w:rFonts w:cs="Arial"/>
                <w:b/>
                <w:iCs/>
                <w:color w:val="FF0000"/>
                <w:szCs w:val="18"/>
              </w:rPr>
              <w:t>.</w:t>
            </w:r>
            <w:r w:rsidR="005018BF" w:rsidRPr="003F2451">
              <w:rPr>
                <w:rFonts w:cs="Arial"/>
                <w:b/>
                <w:iCs/>
                <w:color w:val="FF0000"/>
                <w:szCs w:val="18"/>
              </w:rPr>
              <w:t xml:space="preserve"> della Guida Tecnica n. 29 ISPRA 2014, </w:t>
            </w:r>
            <w:r w:rsidR="006E6CBC" w:rsidRPr="003F2451">
              <w:rPr>
                <w:rFonts w:cs="Arial"/>
                <w:b/>
                <w:iCs/>
                <w:color w:val="FF0000"/>
                <w:szCs w:val="18"/>
              </w:rPr>
              <w:t>sono fortemente connessi al quadro geodinamico dell’intera Puglia e ai connessi cinematismi delle faglie ivi presenti</w:t>
            </w:r>
            <w:r w:rsidR="00DD6C6A" w:rsidRPr="003F2451">
              <w:rPr>
                <w:rFonts w:cs="Arial"/>
                <w:b/>
                <w:iCs/>
                <w:color w:val="FF0000"/>
                <w:szCs w:val="18"/>
              </w:rPr>
              <w:t>.</w:t>
            </w:r>
            <w:r w:rsidR="00280A91" w:rsidRPr="003F2451">
              <w:rPr>
                <w:rFonts w:cs="Arial"/>
                <w:b/>
                <w:iCs/>
                <w:color w:val="FF0000"/>
                <w:szCs w:val="18"/>
              </w:rPr>
              <w:t xml:space="preserve"> </w:t>
            </w:r>
          </w:p>
        </w:tc>
      </w:tr>
      <w:tr w:rsidR="00C24F6B" w:rsidTr="00C24F6B">
        <w:trPr>
          <w:trHeight w:val="567"/>
        </w:trPr>
        <w:tc>
          <w:tcPr>
            <w:tcW w:w="2943" w:type="dxa"/>
            <w:vAlign w:val="center"/>
          </w:tcPr>
          <w:p w:rsidR="00C24F6B" w:rsidRDefault="00C24F6B" w:rsidP="00C24F6B">
            <w:pPr>
              <w:pStyle w:val="LABELSEMPLICI"/>
            </w:pPr>
            <w:r w:rsidRPr="00C24F6B">
              <w:t>IDROGEOLOGIA</w:t>
            </w:r>
          </w:p>
        </w:tc>
        <w:tc>
          <w:tcPr>
            <w:tcW w:w="6266" w:type="dxa"/>
            <w:shd w:val="clear" w:color="auto" w:fill="FFFFFF"/>
            <w:vAlign w:val="center"/>
          </w:tcPr>
          <w:p w:rsidR="00C24F6B" w:rsidRPr="00450125" w:rsidRDefault="00450125" w:rsidP="00450125">
            <w:pPr>
              <w:pStyle w:val="CAMPI"/>
              <w:jc w:val="both"/>
              <w:rPr>
                <w:color w:val="0F243E" w:themeColor="text2" w:themeShade="80"/>
              </w:rPr>
            </w:pPr>
            <w:r w:rsidRPr="00375B00">
              <w:rPr>
                <w:color w:val="0F243E" w:themeColor="text2" w:themeShade="80"/>
              </w:rPr>
              <w:t>Lorem ipsum dolor sit amet, consectetur adipisci elit, sed do eiusmod te</w:t>
            </w:r>
            <w:r w:rsidRPr="00375B00">
              <w:rPr>
                <w:color w:val="0F243E" w:themeColor="text2" w:themeShade="80"/>
              </w:rPr>
              <w:t>m</w:t>
            </w:r>
            <w:r w:rsidRPr="00375B00">
              <w:rPr>
                <w:color w:val="0F243E" w:themeColor="text2" w:themeShade="80"/>
              </w:rPr>
              <w:t xml:space="preserve">por incidunt ut labore et dolore magna aliqua. </w:t>
            </w:r>
            <w:r w:rsidRPr="00C24F6B">
              <w:rPr>
                <w:color w:val="0F243E" w:themeColor="text2" w:themeShade="80"/>
              </w:rPr>
              <w:t>Ut enim ad minim veniam, quis nostrum exercitationem ullamco laboriosam, nisi ut aliquid ex ea co</w:t>
            </w:r>
            <w:r w:rsidRPr="00C24F6B">
              <w:rPr>
                <w:color w:val="0F243E" w:themeColor="text2" w:themeShade="80"/>
              </w:rPr>
              <w:t>m</w:t>
            </w:r>
            <w:r w:rsidRPr="00C24F6B">
              <w:rPr>
                <w:color w:val="0F243E" w:themeColor="text2" w:themeShade="80"/>
              </w:rPr>
              <w:t>modi consequatur.</w:t>
            </w:r>
          </w:p>
        </w:tc>
      </w:tr>
      <w:tr w:rsidR="00C24F6B" w:rsidTr="00C24F6B">
        <w:trPr>
          <w:trHeight w:val="567"/>
        </w:trPr>
        <w:tc>
          <w:tcPr>
            <w:tcW w:w="2943" w:type="dxa"/>
            <w:vAlign w:val="center"/>
          </w:tcPr>
          <w:p w:rsidR="00C24F6B" w:rsidRDefault="00C24F6B" w:rsidP="00C24F6B">
            <w:pPr>
              <w:pStyle w:val="LABELSEMPLICI"/>
            </w:pPr>
            <w:r w:rsidRPr="00C24F6B">
              <w:t>CONDIZIONI METEO-</w:t>
            </w:r>
          </w:p>
          <w:p w:rsidR="00C24F6B" w:rsidRPr="00C24F6B" w:rsidRDefault="00C24F6B" w:rsidP="00C24F6B">
            <w:pPr>
              <w:pStyle w:val="LABELSEMPLICI"/>
            </w:pPr>
            <w:r w:rsidRPr="00C24F6B">
              <w:t>CLIMATICHE</w:t>
            </w:r>
          </w:p>
        </w:tc>
        <w:tc>
          <w:tcPr>
            <w:tcW w:w="6266" w:type="dxa"/>
            <w:shd w:val="clear" w:color="auto" w:fill="FFFFFF"/>
            <w:vAlign w:val="center"/>
          </w:tcPr>
          <w:p w:rsidR="00C24F6B" w:rsidRPr="00450125" w:rsidRDefault="00450125" w:rsidP="00450125">
            <w:pPr>
              <w:pStyle w:val="CAMPI"/>
              <w:jc w:val="both"/>
              <w:rPr>
                <w:color w:val="0F243E" w:themeColor="text2" w:themeShade="80"/>
              </w:rPr>
            </w:pPr>
            <w:r w:rsidRPr="00375B00">
              <w:rPr>
                <w:color w:val="0F243E" w:themeColor="text2" w:themeShade="80"/>
              </w:rPr>
              <w:t>Lorem ipsum dolor sit amet, consectetur adipisci elit, sed do eiusmod te</w:t>
            </w:r>
            <w:r w:rsidRPr="00375B00">
              <w:rPr>
                <w:color w:val="0F243E" w:themeColor="text2" w:themeShade="80"/>
              </w:rPr>
              <w:t>m</w:t>
            </w:r>
            <w:r w:rsidRPr="00375B00">
              <w:rPr>
                <w:color w:val="0F243E" w:themeColor="text2" w:themeShade="80"/>
              </w:rPr>
              <w:t xml:space="preserve">por incidunt ut labore et dolore magna aliqua. </w:t>
            </w:r>
            <w:r w:rsidRPr="00C24F6B">
              <w:rPr>
                <w:color w:val="0F243E" w:themeColor="text2" w:themeShade="80"/>
              </w:rPr>
              <w:t>Ut enim ad minim veniam, quis nostrum exercitationem ullamco laboriosam, nisi ut aliquid ex ea co</w:t>
            </w:r>
            <w:r w:rsidRPr="00C24F6B">
              <w:rPr>
                <w:color w:val="0F243E" w:themeColor="text2" w:themeShade="80"/>
              </w:rPr>
              <w:t>m</w:t>
            </w:r>
            <w:r w:rsidRPr="00C24F6B">
              <w:rPr>
                <w:color w:val="0F243E" w:themeColor="text2" w:themeShade="80"/>
              </w:rPr>
              <w:t>modi consequatur.</w:t>
            </w:r>
          </w:p>
        </w:tc>
      </w:tr>
      <w:tr w:rsidR="00450125" w:rsidTr="00C24F6B">
        <w:trPr>
          <w:trHeight w:val="567"/>
        </w:trPr>
        <w:tc>
          <w:tcPr>
            <w:tcW w:w="2943" w:type="dxa"/>
            <w:vAlign w:val="center"/>
          </w:tcPr>
          <w:p w:rsidR="00450125" w:rsidRDefault="00450125" w:rsidP="00C24F6B">
            <w:pPr>
              <w:pStyle w:val="LABELSEMPLICI"/>
            </w:pPr>
            <w:r w:rsidRPr="00450125">
              <w:t xml:space="preserve">CENNI GEOLOGICO </w:t>
            </w:r>
            <w:r>
              <w:t>–</w:t>
            </w:r>
            <w:r w:rsidRPr="00450125">
              <w:t xml:space="preserve"> </w:t>
            </w:r>
          </w:p>
          <w:p w:rsidR="00450125" w:rsidRPr="00C24F6B" w:rsidRDefault="00450125" w:rsidP="00C24F6B">
            <w:pPr>
              <w:pStyle w:val="LABELSEMPLICI"/>
            </w:pPr>
            <w:r w:rsidRPr="00450125">
              <w:t>TECNICI</w:t>
            </w:r>
          </w:p>
        </w:tc>
        <w:tc>
          <w:tcPr>
            <w:tcW w:w="6266" w:type="dxa"/>
            <w:shd w:val="clear" w:color="auto" w:fill="FFFFFF"/>
            <w:vAlign w:val="center"/>
          </w:tcPr>
          <w:p w:rsidR="00450125" w:rsidRPr="00450125" w:rsidRDefault="00450125" w:rsidP="00450125">
            <w:pPr>
              <w:pStyle w:val="CAMPI"/>
              <w:jc w:val="both"/>
              <w:rPr>
                <w:color w:val="0F243E" w:themeColor="text2" w:themeShade="80"/>
              </w:rPr>
            </w:pPr>
            <w:r w:rsidRPr="00375B00">
              <w:rPr>
                <w:color w:val="0F243E" w:themeColor="text2" w:themeShade="80"/>
              </w:rPr>
              <w:t>Lorem ipsum dolor sit amet, consectetur adipisci elit, sed do eiusmod te</w:t>
            </w:r>
            <w:r w:rsidRPr="00375B00">
              <w:rPr>
                <w:color w:val="0F243E" w:themeColor="text2" w:themeShade="80"/>
              </w:rPr>
              <w:t>m</w:t>
            </w:r>
            <w:r w:rsidRPr="00375B00">
              <w:rPr>
                <w:color w:val="0F243E" w:themeColor="text2" w:themeShade="80"/>
              </w:rPr>
              <w:t xml:space="preserve">por incidunt ut labore et dolore magna aliqua. </w:t>
            </w:r>
            <w:r w:rsidRPr="00C24F6B">
              <w:rPr>
                <w:color w:val="0F243E" w:themeColor="text2" w:themeShade="80"/>
              </w:rPr>
              <w:t>Ut enim ad minim veniam, quis nostrum exercitationem ullamco laboriosam, nisi ut aliquid ex ea co</w:t>
            </w:r>
            <w:r w:rsidRPr="00C24F6B">
              <w:rPr>
                <w:color w:val="0F243E" w:themeColor="text2" w:themeShade="80"/>
              </w:rPr>
              <w:t>m</w:t>
            </w:r>
            <w:r w:rsidRPr="00C24F6B">
              <w:rPr>
                <w:color w:val="0F243E" w:themeColor="text2" w:themeShade="80"/>
              </w:rPr>
              <w:t>modi consequatur.</w:t>
            </w:r>
          </w:p>
        </w:tc>
      </w:tr>
      <w:tr w:rsidR="00450125" w:rsidTr="00C24F6B">
        <w:trPr>
          <w:trHeight w:val="567"/>
        </w:trPr>
        <w:tc>
          <w:tcPr>
            <w:tcW w:w="2943" w:type="dxa"/>
            <w:vAlign w:val="center"/>
          </w:tcPr>
          <w:p w:rsidR="00450125" w:rsidRPr="00375B00" w:rsidRDefault="00450125" w:rsidP="00C24F6B">
            <w:pPr>
              <w:pStyle w:val="LABELSEMPLICI"/>
              <w:rPr>
                <w:color w:val="FF0000"/>
              </w:rPr>
            </w:pPr>
            <w:r w:rsidRPr="00375B00">
              <w:rPr>
                <w:color w:val="FF0000"/>
              </w:rPr>
              <w:lastRenderedPageBreak/>
              <w:t>ASPETTI NATURALISTICI</w:t>
            </w:r>
          </w:p>
        </w:tc>
        <w:tc>
          <w:tcPr>
            <w:tcW w:w="6266" w:type="dxa"/>
            <w:shd w:val="clear" w:color="auto" w:fill="FFFFFF"/>
            <w:vAlign w:val="center"/>
          </w:tcPr>
          <w:p w:rsidR="00450125" w:rsidRPr="00375B00" w:rsidRDefault="00450125" w:rsidP="00450125">
            <w:pPr>
              <w:pStyle w:val="CAMPI"/>
              <w:jc w:val="both"/>
              <w:rPr>
                <w:color w:val="FF0000"/>
              </w:rPr>
            </w:pPr>
            <w:r w:rsidRPr="00375B00">
              <w:rPr>
                <w:color w:val="FF0000"/>
              </w:rPr>
              <w:t>Lorem ipsum dolor sit amet, consectetur adipisci elit, sed do eiusmod te</w:t>
            </w:r>
            <w:r w:rsidRPr="00375B00">
              <w:rPr>
                <w:color w:val="FF0000"/>
              </w:rPr>
              <w:t>m</w:t>
            </w:r>
            <w:r w:rsidRPr="00375B00">
              <w:rPr>
                <w:color w:val="FF0000"/>
              </w:rPr>
              <w:t>por incidunt ut labore et dolore magna aliqua. Ut enim ad minim veniam, quis nostrum exercitationem ullamco laboriosam, nisi ut aliquid ex ea co</w:t>
            </w:r>
            <w:r w:rsidRPr="00375B00">
              <w:rPr>
                <w:color w:val="FF0000"/>
              </w:rPr>
              <w:t>m</w:t>
            </w:r>
            <w:r w:rsidRPr="00375B00">
              <w:rPr>
                <w:color w:val="FF0000"/>
              </w:rPr>
              <w:t>modi consequatur.</w:t>
            </w:r>
          </w:p>
        </w:tc>
      </w:tr>
      <w:tr w:rsidR="00450125" w:rsidTr="00C24F6B">
        <w:trPr>
          <w:trHeight w:val="567"/>
        </w:trPr>
        <w:tc>
          <w:tcPr>
            <w:tcW w:w="2943" w:type="dxa"/>
            <w:vAlign w:val="center"/>
          </w:tcPr>
          <w:p w:rsidR="00450125" w:rsidRPr="00375B00" w:rsidRDefault="00450125" w:rsidP="00C24F6B">
            <w:pPr>
              <w:pStyle w:val="LABELSEMPLICI"/>
              <w:rPr>
                <w:rFonts w:eastAsia="Cambria"/>
                <w:color w:val="FF0000"/>
              </w:rPr>
            </w:pPr>
            <w:r w:rsidRPr="00375B00">
              <w:rPr>
                <w:rFonts w:eastAsia="Cambria"/>
                <w:color w:val="FF0000"/>
              </w:rPr>
              <w:t xml:space="preserve">CARATTERISTICHE </w:t>
            </w:r>
          </w:p>
          <w:p w:rsidR="00450125" w:rsidRPr="00375B00" w:rsidRDefault="00450125" w:rsidP="00C24F6B">
            <w:pPr>
              <w:pStyle w:val="LABELSEMPLICI"/>
              <w:rPr>
                <w:color w:val="FF0000"/>
              </w:rPr>
            </w:pPr>
            <w:r w:rsidRPr="00375B00">
              <w:rPr>
                <w:rFonts w:eastAsia="Cambria"/>
                <w:color w:val="FF0000"/>
              </w:rPr>
              <w:t>ANTROPICHE</w:t>
            </w:r>
          </w:p>
        </w:tc>
        <w:tc>
          <w:tcPr>
            <w:tcW w:w="6266" w:type="dxa"/>
            <w:shd w:val="clear" w:color="auto" w:fill="FFFFFF"/>
            <w:vAlign w:val="center"/>
          </w:tcPr>
          <w:p w:rsidR="00450125" w:rsidRPr="00375B00" w:rsidRDefault="00450125" w:rsidP="00450125">
            <w:pPr>
              <w:pStyle w:val="CAMPI"/>
              <w:jc w:val="both"/>
              <w:rPr>
                <w:color w:val="FF0000"/>
              </w:rPr>
            </w:pPr>
            <w:r w:rsidRPr="00375B00">
              <w:rPr>
                <w:color w:val="FF0000"/>
              </w:rPr>
              <w:t>Lorem ipsum dolor sit amet, consectetur adipisci elit, sed do eiusmod te</w:t>
            </w:r>
            <w:r w:rsidRPr="00375B00">
              <w:rPr>
                <w:color w:val="FF0000"/>
              </w:rPr>
              <w:t>m</w:t>
            </w:r>
            <w:r w:rsidRPr="00375B00">
              <w:rPr>
                <w:color w:val="FF0000"/>
              </w:rPr>
              <w:t>por incidunt ut labore et dolore magna aliqua. Ut enim ad minim veniam, quis nostrum exercitationem ullamco laboriosam, nisi ut aliquid ex ea co</w:t>
            </w:r>
            <w:r w:rsidRPr="00375B00">
              <w:rPr>
                <w:color w:val="FF0000"/>
              </w:rPr>
              <w:t>m</w:t>
            </w:r>
            <w:r w:rsidRPr="00375B00">
              <w:rPr>
                <w:color w:val="FF0000"/>
              </w:rPr>
              <w:t>modi consequatur.</w:t>
            </w:r>
          </w:p>
        </w:tc>
      </w:tr>
    </w:tbl>
    <w:p w:rsidR="00C24F6B" w:rsidRDefault="00C24F6B" w:rsidP="00C24F6B">
      <w:pPr>
        <w:tabs>
          <w:tab w:val="left" w:pos="4253"/>
          <w:tab w:val="left" w:pos="4962"/>
          <w:tab w:val="left" w:pos="5245"/>
        </w:tabs>
        <w:spacing w:line="276" w:lineRule="auto"/>
        <w:jc w:val="both"/>
        <w:rPr>
          <w:rFonts w:asciiTheme="majorHAnsi" w:eastAsia="Cambria" w:hAnsiTheme="majorHAnsi"/>
          <w:b/>
          <w:bCs/>
          <w:color w:val="0F243E" w:themeColor="text2" w:themeShade="80"/>
        </w:rPr>
      </w:pPr>
    </w:p>
    <w:p w:rsidR="00450125" w:rsidRPr="00D2026E" w:rsidRDefault="00450125" w:rsidP="00C24F6B">
      <w:pPr>
        <w:tabs>
          <w:tab w:val="left" w:pos="4253"/>
          <w:tab w:val="left" w:pos="4962"/>
          <w:tab w:val="left" w:pos="5245"/>
        </w:tabs>
        <w:spacing w:line="276" w:lineRule="auto"/>
        <w:jc w:val="both"/>
        <w:rPr>
          <w:rFonts w:asciiTheme="majorHAnsi" w:eastAsia="Cambria" w:hAnsiTheme="majorHAnsi"/>
          <w:b/>
          <w:bCs/>
          <w:color w:val="0F243E" w:themeColor="text2" w:themeShade="80"/>
        </w:rPr>
      </w:pPr>
    </w:p>
    <w:p w:rsidR="00D2026E" w:rsidRDefault="00D2026E">
      <w:pPr>
        <w:tabs>
          <w:tab w:val="left" w:pos="4253"/>
          <w:tab w:val="left" w:pos="4962"/>
          <w:tab w:val="left" w:pos="5245"/>
        </w:tabs>
        <w:spacing w:line="276" w:lineRule="auto"/>
        <w:jc w:val="both"/>
        <w:rPr>
          <w:rFonts w:asciiTheme="majorHAnsi" w:hAnsiTheme="majorHAnsi"/>
          <w:sz w:val="20"/>
        </w:rPr>
      </w:pPr>
    </w:p>
    <w:p w:rsidR="00450125" w:rsidRDefault="00450125" w:rsidP="00450125">
      <w:pPr>
        <w:tabs>
          <w:tab w:val="left" w:pos="4253"/>
          <w:tab w:val="left" w:pos="4962"/>
          <w:tab w:val="left" w:pos="5245"/>
        </w:tabs>
        <w:spacing w:line="276" w:lineRule="auto"/>
        <w:jc w:val="center"/>
        <w:rPr>
          <w:rFonts w:asciiTheme="majorHAnsi" w:eastAsia="Cambria" w:hAnsiTheme="majorHAnsi"/>
          <w:b/>
          <w:bCs/>
          <w:color w:val="0F243E" w:themeColor="text2" w:themeShade="80"/>
        </w:rPr>
      </w:pPr>
      <w:r>
        <w:rPr>
          <w:rFonts w:asciiTheme="majorHAnsi" w:eastAsia="Cambria" w:hAnsiTheme="majorHAnsi"/>
          <w:b/>
          <w:bCs/>
          <w:color w:val="0F243E" w:themeColor="text2" w:themeShade="80"/>
        </w:rPr>
        <w:t xml:space="preserve">COMMENTI RIFERITI ALLA </w:t>
      </w:r>
      <w:r w:rsidRPr="00450125">
        <w:rPr>
          <w:rFonts w:asciiTheme="majorHAnsi" w:eastAsia="Cambria" w:hAnsiTheme="majorHAnsi"/>
          <w:b/>
          <w:bCs/>
          <w:color w:val="0F243E" w:themeColor="text2" w:themeShade="80"/>
        </w:rPr>
        <w:t xml:space="preserve">VERIFICA DEI CRITERI DELLA </w:t>
      </w:r>
      <w:r w:rsidR="00E67EDB">
        <w:rPr>
          <w:rFonts w:asciiTheme="majorHAnsi" w:eastAsia="Cambria" w:hAnsiTheme="majorHAnsi"/>
          <w:b/>
          <w:bCs/>
          <w:color w:val="0F243E" w:themeColor="text2" w:themeShade="80"/>
        </w:rPr>
        <w:t>GUIDA TECNICA 29</w:t>
      </w:r>
    </w:p>
    <w:p w:rsidR="00450125" w:rsidRDefault="00450125" w:rsidP="00450125">
      <w:pPr>
        <w:tabs>
          <w:tab w:val="left" w:pos="4253"/>
          <w:tab w:val="left" w:pos="4962"/>
          <w:tab w:val="left" w:pos="5245"/>
        </w:tabs>
        <w:spacing w:line="276" w:lineRule="auto"/>
        <w:jc w:val="both"/>
        <w:rPr>
          <w:rFonts w:asciiTheme="majorHAnsi" w:eastAsia="Cambria" w:hAnsiTheme="majorHAnsi"/>
          <w:b/>
          <w:bCs/>
          <w:color w:val="0F243E" w:themeColor="text2" w:themeShade="80"/>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333399"/>
        <w:tblLayout w:type="fixed"/>
        <w:tblLook w:val="01E0" w:firstRow="1" w:lastRow="1" w:firstColumn="1" w:lastColumn="1" w:noHBand="0" w:noVBand="0"/>
      </w:tblPr>
      <w:tblGrid>
        <w:gridCol w:w="2943"/>
        <w:gridCol w:w="6266"/>
      </w:tblGrid>
      <w:tr w:rsidR="00450125" w:rsidTr="00EF762F">
        <w:trPr>
          <w:trHeight w:val="567"/>
        </w:trPr>
        <w:tc>
          <w:tcPr>
            <w:tcW w:w="2943" w:type="dxa"/>
            <w:shd w:val="clear" w:color="auto" w:fill="333399"/>
            <w:vAlign w:val="center"/>
          </w:tcPr>
          <w:p w:rsidR="00450125" w:rsidRDefault="00E67EDB" w:rsidP="00EF762F">
            <w:pPr>
              <w:pStyle w:val="LABELOBBLIGATORI"/>
              <w:jc w:val="center"/>
            </w:pPr>
            <w:r w:rsidRPr="00E67EDB">
              <w:t>CRITERI</w:t>
            </w:r>
            <w:r>
              <w:t>O</w:t>
            </w:r>
            <w:r w:rsidRPr="00E67EDB">
              <w:t xml:space="preserve"> DI ESCLUSIONE</w:t>
            </w:r>
          </w:p>
        </w:tc>
        <w:tc>
          <w:tcPr>
            <w:tcW w:w="6266" w:type="dxa"/>
            <w:shd w:val="clear" w:color="auto" w:fill="B8CCE4" w:themeFill="accent1" w:themeFillTint="66"/>
            <w:vAlign w:val="center"/>
          </w:tcPr>
          <w:p w:rsidR="00450125" w:rsidRDefault="00450125" w:rsidP="00EF762F">
            <w:pPr>
              <w:pStyle w:val="LABELOBBLIGATORI"/>
              <w:jc w:val="center"/>
            </w:pPr>
            <w:r w:rsidRPr="00C24F6B">
              <w:rPr>
                <w:color w:val="0F243E" w:themeColor="text2" w:themeShade="80"/>
              </w:rPr>
              <w:t>COMMENTI</w:t>
            </w:r>
          </w:p>
        </w:tc>
      </w:tr>
      <w:tr w:rsidR="00E67EDB" w:rsidTr="00EF762F">
        <w:trPr>
          <w:trHeight w:val="567"/>
        </w:trPr>
        <w:tc>
          <w:tcPr>
            <w:tcW w:w="2943" w:type="dxa"/>
            <w:vAlign w:val="center"/>
          </w:tcPr>
          <w:p w:rsidR="00E67EDB" w:rsidRDefault="00E67EDB" w:rsidP="00EF762F">
            <w:pPr>
              <w:pStyle w:val="LABELSEMPLICI"/>
            </w:pPr>
            <w:r w:rsidRPr="00E67EDB">
              <w:t xml:space="preserve">CE1. </w:t>
            </w:r>
            <w:r>
              <w:t xml:space="preserve">aree </w:t>
            </w:r>
            <w:r w:rsidRPr="00E67EDB">
              <w:t>vulcaniche attive o quiescenti</w:t>
            </w:r>
          </w:p>
        </w:tc>
        <w:tc>
          <w:tcPr>
            <w:tcW w:w="6266" w:type="dxa"/>
            <w:shd w:val="clear" w:color="auto" w:fill="FFFFFF"/>
            <w:vAlign w:val="center"/>
          </w:tcPr>
          <w:p w:rsidR="00E67EDB" w:rsidRDefault="00E67EDB" w:rsidP="00EF762F">
            <w:pPr>
              <w:pStyle w:val="CAMPI"/>
              <w:jc w:val="both"/>
            </w:pPr>
            <w:r w:rsidRPr="00375B00">
              <w:rPr>
                <w:color w:val="0F243E" w:themeColor="text2" w:themeShade="80"/>
              </w:rPr>
              <w:t>Lorem ipsum dolor sit amet, consectetur adipisci elit, sed do eiusmod te</w:t>
            </w:r>
            <w:r w:rsidRPr="00375B00">
              <w:rPr>
                <w:color w:val="0F243E" w:themeColor="text2" w:themeShade="80"/>
              </w:rPr>
              <w:t>m</w:t>
            </w:r>
            <w:r w:rsidRPr="00375B00">
              <w:rPr>
                <w:color w:val="0F243E" w:themeColor="text2" w:themeShade="80"/>
              </w:rPr>
              <w:t xml:space="preserve">por incidunt ut labore et dolore magna aliqua. </w:t>
            </w:r>
            <w:r w:rsidRPr="00C24F6B">
              <w:rPr>
                <w:color w:val="0F243E" w:themeColor="text2" w:themeShade="80"/>
              </w:rPr>
              <w:t>Ut enim ad minim veniam, quis nostrum exercitationem ullamco laboriosam, nisi ut aliquid ex ea co</w:t>
            </w:r>
            <w:r w:rsidRPr="00C24F6B">
              <w:rPr>
                <w:color w:val="0F243E" w:themeColor="text2" w:themeShade="80"/>
              </w:rPr>
              <w:t>m</w:t>
            </w:r>
            <w:r w:rsidRPr="00C24F6B">
              <w:rPr>
                <w:color w:val="0F243E" w:themeColor="text2" w:themeShade="80"/>
              </w:rPr>
              <w:t>modi consequatur.</w:t>
            </w:r>
          </w:p>
        </w:tc>
      </w:tr>
      <w:tr w:rsidR="00E67EDB" w:rsidTr="00EF762F">
        <w:trPr>
          <w:trHeight w:val="567"/>
        </w:trPr>
        <w:tc>
          <w:tcPr>
            <w:tcW w:w="2943" w:type="dxa"/>
            <w:vAlign w:val="center"/>
          </w:tcPr>
          <w:p w:rsidR="00641D32" w:rsidRPr="00383F72" w:rsidRDefault="00641D32" w:rsidP="00641D32">
            <w:pPr>
              <w:pStyle w:val="LABELSEMPLICI"/>
              <w:rPr>
                <w:rFonts w:ascii="Times New Roman" w:hAnsi="Times New Roman"/>
                <w:sz w:val="24"/>
              </w:rPr>
            </w:pPr>
            <w:r w:rsidRPr="00383F72">
              <w:rPr>
                <w:rFonts w:ascii="Times New Roman" w:hAnsi="Times New Roman"/>
                <w:sz w:val="24"/>
              </w:rPr>
              <w:t xml:space="preserve"> </w:t>
            </w:r>
          </w:p>
          <w:p w:rsidR="00641D32" w:rsidRPr="00383F72" w:rsidRDefault="00641D32" w:rsidP="00641D32">
            <w:pPr>
              <w:pStyle w:val="LABELSEMPLICI"/>
              <w:rPr>
                <w:rFonts w:ascii="Times New Roman" w:hAnsi="Times New Roman"/>
                <w:b/>
                <w:bCs/>
                <w:sz w:val="24"/>
              </w:rPr>
            </w:pPr>
            <w:r w:rsidRPr="00383F72">
              <w:rPr>
                <w:rFonts w:ascii="Times New Roman" w:hAnsi="Times New Roman"/>
                <w:b/>
                <w:bCs/>
                <w:sz w:val="24"/>
              </w:rPr>
              <w:t>CE2. Aree contrassegnate da sismicità elevata (Gu</w:t>
            </w:r>
            <w:r w:rsidRPr="00383F72">
              <w:rPr>
                <w:rFonts w:ascii="Times New Roman" w:hAnsi="Times New Roman"/>
                <w:b/>
                <w:bCs/>
                <w:sz w:val="24"/>
              </w:rPr>
              <w:t>i</w:t>
            </w:r>
            <w:r w:rsidRPr="00383F72">
              <w:rPr>
                <w:rFonts w:ascii="Times New Roman" w:hAnsi="Times New Roman"/>
                <w:b/>
                <w:bCs/>
                <w:sz w:val="24"/>
              </w:rPr>
              <w:t>da Tecnica ISPRA n. 29 2014)</w:t>
            </w:r>
          </w:p>
          <w:p w:rsidR="00641D32" w:rsidRPr="00383F72" w:rsidRDefault="00641D32" w:rsidP="00641D32">
            <w:pPr>
              <w:pStyle w:val="LABELSEMPLICI"/>
              <w:rPr>
                <w:rFonts w:ascii="Times New Roman" w:hAnsi="Times New Roman"/>
                <w:i/>
                <w:iCs/>
                <w:sz w:val="24"/>
              </w:rPr>
            </w:pPr>
            <w:r w:rsidRPr="00383F72">
              <w:rPr>
                <w:rFonts w:ascii="Times New Roman" w:hAnsi="Times New Roman"/>
                <w:i/>
                <w:iCs/>
                <w:sz w:val="24"/>
              </w:rPr>
              <w:t>“Sono quelle aree contra</w:t>
            </w:r>
            <w:r w:rsidRPr="00383F72">
              <w:rPr>
                <w:rFonts w:ascii="Times New Roman" w:hAnsi="Times New Roman"/>
                <w:i/>
                <w:iCs/>
                <w:sz w:val="24"/>
              </w:rPr>
              <w:t>s</w:t>
            </w:r>
            <w:r w:rsidRPr="00383F72">
              <w:rPr>
                <w:rFonts w:ascii="Times New Roman" w:hAnsi="Times New Roman"/>
                <w:i/>
                <w:iCs/>
                <w:sz w:val="24"/>
              </w:rPr>
              <w:t>segnate da un valore prev</w:t>
            </w:r>
            <w:r w:rsidRPr="00383F72">
              <w:rPr>
                <w:rFonts w:ascii="Times New Roman" w:hAnsi="Times New Roman"/>
                <w:i/>
                <w:iCs/>
                <w:sz w:val="24"/>
              </w:rPr>
              <w:t>i</w:t>
            </w:r>
            <w:r w:rsidRPr="00383F72">
              <w:rPr>
                <w:rFonts w:ascii="Times New Roman" w:hAnsi="Times New Roman"/>
                <w:i/>
                <w:iCs/>
                <w:sz w:val="24"/>
              </w:rPr>
              <w:t>sto di picco di</w:t>
            </w:r>
            <w:r w:rsidR="00FA055E" w:rsidRPr="00383F72">
              <w:rPr>
                <w:rFonts w:ascii="Times New Roman" w:hAnsi="Times New Roman"/>
                <w:i/>
                <w:iCs/>
                <w:sz w:val="24"/>
              </w:rPr>
              <w:t xml:space="preserve"> </w:t>
            </w:r>
            <w:r w:rsidRPr="00383F72">
              <w:rPr>
                <w:rFonts w:ascii="Times New Roman" w:hAnsi="Times New Roman"/>
                <w:i/>
                <w:iCs/>
                <w:sz w:val="24"/>
              </w:rPr>
              <w:t>accelerazi</w:t>
            </w:r>
            <w:r w:rsidRPr="00383F72">
              <w:rPr>
                <w:rFonts w:ascii="Times New Roman" w:hAnsi="Times New Roman"/>
                <w:i/>
                <w:iCs/>
                <w:sz w:val="24"/>
              </w:rPr>
              <w:t>o</w:t>
            </w:r>
            <w:r w:rsidRPr="00383F72">
              <w:rPr>
                <w:rFonts w:ascii="Times New Roman" w:hAnsi="Times New Roman"/>
                <w:i/>
                <w:iCs/>
                <w:sz w:val="24"/>
              </w:rPr>
              <w:t>ne (PGA) al substrato rig</w:t>
            </w:r>
            <w:r w:rsidRPr="00383F72">
              <w:rPr>
                <w:rFonts w:ascii="Times New Roman" w:hAnsi="Times New Roman"/>
                <w:i/>
                <w:iCs/>
                <w:sz w:val="24"/>
              </w:rPr>
              <w:t>i</w:t>
            </w:r>
            <w:r w:rsidRPr="00383F72">
              <w:rPr>
                <w:rFonts w:ascii="Times New Roman" w:hAnsi="Times New Roman"/>
                <w:i/>
                <w:iCs/>
                <w:sz w:val="24"/>
              </w:rPr>
              <w:t>do, per un tempo di ritorno di 2475</w:t>
            </w:r>
            <w:r w:rsidR="00FA055E" w:rsidRPr="00383F72">
              <w:rPr>
                <w:rFonts w:ascii="Times New Roman" w:hAnsi="Times New Roman"/>
                <w:i/>
                <w:iCs/>
                <w:sz w:val="24"/>
              </w:rPr>
              <w:t xml:space="preserve"> </w:t>
            </w:r>
            <w:r w:rsidRPr="00383F72">
              <w:rPr>
                <w:rFonts w:ascii="Times New Roman" w:hAnsi="Times New Roman"/>
                <w:i/>
                <w:iCs/>
                <w:sz w:val="24"/>
              </w:rPr>
              <w:t>anni, pari o sup</w:t>
            </w:r>
            <w:r w:rsidRPr="00383F72">
              <w:rPr>
                <w:rFonts w:ascii="Times New Roman" w:hAnsi="Times New Roman"/>
                <w:i/>
                <w:iCs/>
                <w:sz w:val="24"/>
              </w:rPr>
              <w:t>e</w:t>
            </w:r>
            <w:r w:rsidRPr="00383F72">
              <w:rPr>
                <w:rFonts w:ascii="Times New Roman" w:hAnsi="Times New Roman"/>
                <w:i/>
                <w:iCs/>
                <w:sz w:val="24"/>
              </w:rPr>
              <w:t>riore a 0,25 g, secondo le vigenti Norme Tecniche per le</w:t>
            </w:r>
            <w:r w:rsidR="00FA055E" w:rsidRPr="00383F72">
              <w:rPr>
                <w:rFonts w:ascii="Times New Roman" w:hAnsi="Times New Roman"/>
                <w:i/>
                <w:iCs/>
                <w:sz w:val="24"/>
              </w:rPr>
              <w:t xml:space="preserve"> </w:t>
            </w:r>
            <w:r w:rsidRPr="00383F72">
              <w:rPr>
                <w:rFonts w:ascii="Times New Roman" w:hAnsi="Times New Roman"/>
                <w:i/>
                <w:iCs/>
                <w:sz w:val="24"/>
              </w:rPr>
              <w:t>Costruzioni [Rif. 22,23], in quanto in tali aree le successive analisi sismiche</w:t>
            </w:r>
          </w:p>
          <w:p w:rsidR="00E67EDB" w:rsidRPr="00383F72" w:rsidRDefault="00641D32" w:rsidP="00FA055E">
            <w:pPr>
              <w:pStyle w:val="LABELSEMPLICI"/>
              <w:rPr>
                <w:rFonts w:ascii="Times New Roman" w:hAnsi="Times New Roman"/>
                <w:i/>
                <w:iCs/>
                <w:sz w:val="24"/>
              </w:rPr>
            </w:pPr>
            <w:r w:rsidRPr="00383F72">
              <w:rPr>
                <w:rFonts w:ascii="Times New Roman" w:hAnsi="Times New Roman"/>
                <w:i/>
                <w:iCs/>
                <w:sz w:val="24"/>
              </w:rPr>
              <w:t>di sito potrebbero evide</w:t>
            </w:r>
            <w:r w:rsidRPr="00383F72">
              <w:rPr>
                <w:rFonts w:ascii="Times New Roman" w:hAnsi="Times New Roman"/>
                <w:i/>
                <w:iCs/>
                <w:sz w:val="24"/>
              </w:rPr>
              <w:t>n</w:t>
            </w:r>
            <w:r w:rsidRPr="00383F72">
              <w:rPr>
                <w:rFonts w:ascii="Times New Roman" w:hAnsi="Times New Roman"/>
                <w:i/>
                <w:iCs/>
                <w:sz w:val="24"/>
              </w:rPr>
              <w:t>ziare condizioni in grado di compromettere la</w:t>
            </w:r>
            <w:r w:rsidR="00FA055E" w:rsidRPr="00383F72">
              <w:rPr>
                <w:rFonts w:ascii="Times New Roman" w:hAnsi="Times New Roman"/>
                <w:i/>
                <w:iCs/>
                <w:sz w:val="24"/>
              </w:rPr>
              <w:t xml:space="preserve"> </w:t>
            </w:r>
            <w:r w:rsidRPr="00383F72">
              <w:rPr>
                <w:rFonts w:ascii="Times New Roman" w:hAnsi="Times New Roman"/>
                <w:i/>
                <w:iCs/>
                <w:sz w:val="24"/>
              </w:rPr>
              <w:t>sicurezza del deposito nelle fasi di c</w:t>
            </w:r>
            <w:r w:rsidRPr="00383F72">
              <w:rPr>
                <w:rFonts w:ascii="Times New Roman" w:hAnsi="Times New Roman"/>
                <w:i/>
                <w:iCs/>
                <w:sz w:val="24"/>
              </w:rPr>
              <w:t>a</w:t>
            </w:r>
            <w:r w:rsidRPr="00383F72">
              <w:rPr>
                <w:rFonts w:ascii="Times New Roman" w:hAnsi="Times New Roman"/>
                <w:i/>
                <w:iCs/>
                <w:sz w:val="24"/>
              </w:rPr>
              <w:t>ricamento e, dopo la chi</w:t>
            </w:r>
            <w:r w:rsidRPr="00383F72">
              <w:rPr>
                <w:rFonts w:ascii="Times New Roman" w:hAnsi="Times New Roman"/>
                <w:i/>
                <w:iCs/>
                <w:sz w:val="24"/>
              </w:rPr>
              <w:t>u</w:t>
            </w:r>
            <w:r w:rsidRPr="00383F72">
              <w:rPr>
                <w:rFonts w:ascii="Times New Roman" w:hAnsi="Times New Roman"/>
                <w:i/>
                <w:iCs/>
                <w:sz w:val="24"/>
              </w:rPr>
              <w:t>sura, per tutto</w:t>
            </w:r>
            <w:r w:rsidR="00FA055E" w:rsidRPr="00383F72">
              <w:rPr>
                <w:rFonts w:ascii="Times New Roman" w:hAnsi="Times New Roman"/>
                <w:i/>
                <w:iCs/>
                <w:sz w:val="24"/>
              </w:rPr>
              <w:t xml:space="preserve"> </w:t>
            </w:r>
            <w:r w:rsidRPr="00383F72">
              <w:rPr>
                <w:rFonts w:ascii="Times New Roman" w:hAnsi="Times New Roman"/>
                <w:i/>
                <w:iCs/>
                <w:sz w:val="24"/>
              </w:rPr>
              <w:t>il periodo di controllo istituzionale”.</w:t>
            </w:r>
          </w:p>
          <w:p w:rsidR="00022A60" w:rsidRDefault="00022A60" w:rsidP="00FA055E">
            <w:pPr>
              <w:pStyle w:val="LABELSEMPLICI"/>
            </w:pPr>
          </w:p>
        </w:tc>
        <w:tc>
          <w:tcPr>
            <w:tcW w:w="6266" w:type="dxa"/>
            <w:shd w:val="clear" w:color="auto" w:fill="FFFFFF"/>
            <w:vAlign w:val="center"/>
          </w:tcPr>
          <w:p w:rsidR="00E67EDB" w:rsidRPr="003F2451" w:rsidRDefault="00690F75" w:rsidP="00DC1BE8">
            <w:pPr>
              <w:pStyle w:val="CAMPI"/>
              <w:jc w:val="both"/>
            </w:pPr>
            <w:r w:rsidRPr="003F2451">
              <w:rPr>
                <w:b/>
              </w:rPr>
              <w:t xml:space="preserve">Secondo la Relazione Tecnica SOGIN </w:t>
            </w:r>
            <w:r w:rsidR="00E27044" w:rsidRPr="003F2451">
              <w:rPr>
                <w:b/>
              </w:rPr>
              <w:t>su</w:t>
            </w:r>
            <w:r w:rsidRPr="003F2451">
              <w:rPr>
                <w:b/>
              </w:rPr>
              <w:t xml:space="preserve">ll’area BA_MT-4 </w:t>
            </w:r>
            <w:r w:rsidRPr="003F2451">
              <w:t xml:space="preserve">(DN GS 00161 - Revisione 03 del 10-01-2020), </w:t>
            </w:r>
            <w:r w:rsidR="00E27044" w:rsidRPr="003F2451">
              <w:rPr>
                <w:b/>
              </w:rPr>
              <w:t>i</w:t>
            </w:r>
            <w:r w:rsidRPr="003F2451">
              <w:rPr>
                <w:b/>
              </w:rPr>
              <w:t>l valore di picco di accelerazione (PGA) al substrato rigido, per un tempo di ritorno di 2475 anni,</w:t>
            </w:r>
            <w:r w:rsidR="00DC1BE8" w:rsidRPr="003F2451">
              <w:rPr>
                <w:b/>
              </w:rPr>
              <w:t xml:space="preserve"> desunto dalla carta di pericolosità sismica MPS04 pubblicata da INGV, </w:t>
            </w:r>
            <w:r w:rsidRPr="003F2451">
              <w:rPr>
                <w:b/>
              </w:rPr>
              <w:t>risulta co</w:t>
            </w:r>
            <w:r w:rsidRPr="003F2451">
              <w:rPr>
                <w:b/>
              </w:rPr>
              <w:t>m</w:t>
            </w:r>
            <w:r w:rsidRPr="003F2451">
              <w:rPr>
                <w:b/>
              </w:rPr>
              <w:t>preso tra 0,160 e 0,190g</w:t>
            </w:r>
            <w:r w:rsidRPr="003F2451">
              <w:t>.</w:t>
            </w:r>
            <w:r w:rsidR="009C6999" w:rsidRPr="003F2451">
              <w:t xml:space="preserve"> </w:t>
            </w:r>
            <w:r w:rsidR="009C6999" w:rsidRPr="003F2451">
              <w:rPr>
                <w:color w:val="FF0000"/>
              </w:rPr>
              <w:t>Osservazioni:</w:t>
            </w:r>
            <w:r w:rsidR="009C6999" w:rsidRPr="003F2451">
              <w:rPr>
                <w:b/>
                <w:color w:val="FF0000"/>
              </w:rPr>
              <w:t xml:space="preserve"> </w:t>
            </w:r>
            <w:r w:rsidR="00951D8A" w:rsidRPr="003F2451">
              <w:rPr>
                <w:b/>
                <w:color w:val="FF0000"/>
              </w:rPr>
              <w:t>Tali valori risultano fortemente sottostimati, in relazione alle considerazioni fatte nei commenti Tecn</w:t>
            </w:r>
            <w:r w:rsidR="00951D8A" w:rsidRPr="003F2451">
              <w:rPr>
                <w:b/>
                <w:color w:val="FF0000"/>
              </w:rPr>
              <w:t>i</w:t>
            </w:r>
            <w:r w:rsidR="00951D8A" w:rsidRPr="003F2451">
              <w:rPr>
                <w:b/>
                <w:color w:val="FF0000"/>
              </w:rPr>
              <w:t>co-Scientifici preliminari relativi alla sismicità, ai quali si rimanda, a</w:t>
            </w:r>
            <w:r w:rsidR="00951D8A" w:rsidRPr="003F2451">
              <w:rPr>
                <w:b/>
                <w:color w:val="FF0000"/>
              </w:rPr>
              <w:t>n</w:t>
            </w:r>
            <w:r w:rsidR="00951D8A" w:rsidRPr="003F2451">
              <w:rPr>
                <w:b/>
                <w:color w:val="FF0000"/>
              </w:rPr>
              <w:t>che in considerazione dei fatti che l’area risulta al momento priva di una MZS, se non di II almeno di I livello, e che viene proposta come potenzialmente idonea anche per l’immagazzinamento, a titolo provv</w:t>
            </w:r>
            <w:r w:rsidR="00951D8A" w:rsidRPr="003F2451">
              <w:rPr>
                <w:b/>
                <w:color w:val="FF0000"/>
              </w:rPr>
              <w:t>i</w:t>
            </w:r>
            <w:r w:rsidR="00951D8A" w:rsidRPr="003F2451">
              <w:rPr>
                <w:b/>
                <w:color w:val="FF0000"/>
              </w:rPr>
              <w:t>sorio di lunga durata (non si riesce a comprendere come una cosa provvisoria possa essere di lunga durata), dei rifiuti ad alta attività e del combustibile irraggiato provenienti dalla pregressa gestione di impianti nucleari. Per quest’area, tenuto conto delle NTC2018 e delle indicazioni della Guida Tecnica ISPRA n. 29 cui la CNAPI di SOGIN si attiene, considerando una probabilità di eccedenza del 2% e un pe</w:t>
            </w:r>
            <w:r w:rsidR="00951D8A" w:rsidRPr="003F2451">
              <w:rPr>
                <w:b/>
                <w:color w:val="FF0000"/>
              </w:rPr>
              <w:t>r</w:t>
            </w:r>
            <w:r w:rsidR="00951D8A" w:rsidRPr="003F2451">
              <w:rPr>
                <w:b/>
                <w:color w:val="FF0000"/>
              </w:rPr>
              <w:t>centile dell’84%, valori appena compatibili con il carattere strategico e la rilevanza ai fini della Protezione Civile dell’opera anche tenuto co</w:t>
            </w:r>
            <w:r w:rsidR="00951D8A" w:rsidRPr="003F2451">
              <w:rPr>
                <w:b/>
                <w:color w:val="FF0000"/>
              </w:rPr>
              <w:t>n</w:t>
            </w:r>
            <w:r w:rsidR="00951D8A" w:rsidRPr="003F2451">
              <w:rPr>
                <w:b/>
                <w:color w:val="FF0000"/>
              </w:rPr>
              <w:t>to che la radiotossicità dei rifiuti nucleari ad alta attività è dell’ordine di migliaia anni, dalla mappa del portale INGV si ottengono valori di accelerazione di picco (PGA)</w:t>
            </w:r>
            <w:r w:rsidR="0077116C" w:rsidRPr="003F2451">
              <w:rPr>
                <w:b/>
                <w:color w:val="FF0000"/>
              </w:rPr>
              <w:t xml:space="preserve"> al substrato rigido compresi fra </w:t>
            </w:r>
            <w:r w:rsidR="003D501B" w:rsidRPr="003F2451">
              <w:rPr>
                <w:b/>
                <w:color w:val="FF0000"/>
              </w:rPr>
              <w:t>0,200 e 0,225g, senza tener conto delle eventuali amplificazioni di sito</w:t>
            </w:r>
            <w:r w:rsidR="00A80879" w:rsidRPr="003F2451">
              <w:rPr>
                <w:b/>
                <w:color w:val="FF0000"/>
              </w:rPr>
              <w:t>.</w:t>
            </w:r>
            <w:r w:rsidR="0077116C" w:rsidRPr="003F2451">
              <w:rPr>
                <w:b/>
                <w:color w:val="FF0000"/>
              </w:rPr>
              <w:t xml:space="preserve"> </w:t>
            </w:r>
          </w:p>
        </w:tc>
      </w:tr>
      <w:tr w:rsidR="00E67EDB" w:rsidRPr="005F1DB9" w:rsidTr="00EF762F">
        <w:trPr>
          <w:trHeight w:val="567"/>
        </w:trPr>
        <w:tc>
          <w:tcPr>
            <w:tcW w:w="2943" w:type="dxa"/>
            <w:vAlign w:val="center"/>
          </w:tcPr>
          <w:p w:rsidR="00641D32" w:rsidRPr="00EF36D2" w:rsidRDefault="00641D32" w:rsidP="00641D32">
            <w:pPr>
              <w:suppressAutoHyphens w:val="0"/>
              <w:autoSpaceDE w:val="0"/>
              <w:autoSpaceDN w:val="0"/>
              <w:adjustRightInd w:val="0"/>
              <w:rPr>
                <w:rFonts w:eastAsia="Cambria"/>
                <w:b/>
                <w:bCs/>
                <w:color w:val="000080"/>
              </w:rPr>
            </w:pPr>
            <w:r w:rsidRPr="00EF36D2">
              <w:rPr>
                <w:rFonts w:eastAsia="Cambria"/>
                <w:b/>
                <w:bCs/>
                <w:color w:val="000080"/>
              </w:rPr>
              <w:lastRenderedPageBreak/>
              <w:t>CE</w:t>
            </w:r>
            <w:r>
              <w:rPr>
                <w:rFonts w:eastAsia="Cambria"/>
                <w:b/>
                <w:bCs/>
                <w:color w:val="000080"/>
              </w:rPr>
              <w:t>3</w:t>
            </w:r>
            <w:r w:rsidRPr="00EF36D2">
              <w:rPr>
                <w:rFonts w:eastAsia="Cambria"/>
                <w:b/>
                <w:bCs/>
                <w:color w:val="000080"/>
              </w:rPr>
              <w:t xml:space="preserve">. Aree </w:t>
            </w:r>
            <w:r>
              <w:rPr>
                <w:rFonts w:eastAsia="Cambria"/>
                <w:b/>
                <w:bCs/>
                <w:color w:val="000080"/>
              </w:rPr>
              <w:t>interessate da fenomeni di fagliazione</w:t>
            </w:r>
            <w:r w:rsidRPr="00EF36D2">
              <w:rPr>
                <w:rFonts w:eastAsia="Cambria"/>
                <w:b/>
                <w:bCs/>
                <w:color w:val="000080"/>
              </w:rPr>
              <w:t xml:space="preserve"> (Guida Tecnica ISPRA n. 29 2014)</w:t>
            </w:r>
          </w:p>
          <w:p w:rsidR="00FA055E" w:rsidRPr="00FA055E" w:rsidRDefault="00641D32" w:rsidP="00FA055E">
            <w:pPr>
              <w:pStyle w:val="LABELSEMPLICI"/>
              <w:rPr>
                <w:rFonts w:ascii="Times New Roman" w:hAnsi="Times New Roman"/>
                <w:i/>
                <w:iCs/>
                <w:sz w:val="24"/>
              </w:rPr>
            </w:pPr>
            <w:r w:rsidRPr="00576336">
              <w:rPr>
                <w:rFonts w:ascii="Times New Roman" w:hAnsi="Times New Roman"/>
                <w:sz w:val="24"/>
              </w:rPr>
              <w:t>“</w:t>
            </w:r>
            <w:r w:rsidRPr="00576336">
              <w:rPr>
                <w:rFonts w:ascii="Times New Roman" w:hAnsi="Times New Roman"/>
                <w:i/>
                <w:iCs/>
                <w:sz w:val="24"/>
              </w:rPr>
              <w:t>Questi lineamenti tettonici sono evidenziati nel catal</w:t>
            </w:r>
            <w:r w:rsidRPr="00576336">
              <w:rPr>
                <w:rFonts w:ascii="Times New Roman" w:hAnsi="Times New Roman"/>
                <w:i/>
                <w:iCs/>
                <w:sz w:val="24"/>
              </w:rPr>
              <w:t>o</w:t>
            </w:r>
            <w:r w:rsidRPr="00576336">
              <w:rPr>
                <w:rFonts w:ascii="Times New Roman" w:hAnsi="Times New Roman"/>
                <w:i/>
                <w:iCs/>
                <w:sz w:val="24"/>
              </w:rPr>
              <w:t>go ITHACA (ITaly</w:t>
            </w:r>
            <w:r w:rsidR="00FA055E">
              <w:rPr>
                <w:rFonts w:ascii="Times New Roman" w:hAnsi="Times New Roman"/>
                <w:i/>
                <w:iCs/>
                <w:sz w:val="24"/>
              </w:rPr>
              <w:t xml:space="preserve"> </w:t>
            </w:r>
            <w:r w:rsidRPr="00FA055E">
              <w:rPr>
                <w:rFonts w:ascii="Times New Roman" w:hAnsi="Times New Roman"/>
                <w:i/>
                <w:iCs/>
                <w:sz w:val="24"/>
              </w:rPr>
              <w:t xml:space="preserve">HAzard from CApable faults) e nel database DISS (Database </w:t>
            </w:r>
          </w:p>
          <w:p w:rsidR="00E67EDB" w:rsidRPr="00641D32" w:rsidRDefault="00641D32" w:rsidP="00FA055E">
            <w:pPr>
              <w:pStyle w:val="LABELSEMPLICI"/>
              <w:rPr>
                <w:lang w:val="en-GB"/>
              </w:rPr>
            </w:pPr>
            <w:r w:rsidRPr="00576336">
              <w:rPr>
                <w:rFonts w:ascii="Times New Roman" w:hAnsi="Times New Roman"/>
                <w:i/>
                <w:iCs/>
                <w:sz w:val="24"/>
                <w:lang w:val="en-GB"/>
              </w:rPr>
              <w:t>of Individual Seismogenic Sources”</w:t>
            </w:r>
          </w:p>
        </w:tc>
        <w:tc>
          <w:tcPr>
            <w:tcW w:w="6266" w:type="dxa"/>
            <w:shd w:val="clear" w:color="auto" w:fill="FFFFFF"/>
            <w:vAlign w:val="center"/>
          </w:tcPr>
          <w:p w:rsidR="00E67EDB" w:rsidRPr="003F2451" w:rsidRDefault="006F3C90" w:rsidP="00352D92">
            <w:pPr>
              <w:pStyle w:val="CAMPI"/>
              <w:jc w:val="both"/>
            </w:pPr>
            <w:r w:rsidRPr="003F2451">
              <w:rPr>
                <w:b/>
              </w:rPr>
              <w:t>La Relazione Tecnica SOGIN sull’area BA_MT-4</w:t>
            </w:r>
            <w:r w:rsidRPr="003F2451">
              <w:t xml:space="preserve"> (DN GS 00161 - Rev</w:t>
            </w:r>
            <w:r w:rsidRPr="003F2451">
              <w:t>i</w:t>
            </w:r>
            <w:r w:rsidRPr="003F2451">
              <w:t xml:space="preserve">sione 03 del 10-01-2020), riguardo il seguente criterio di esclusione </w:t>
            </w:r>
            <w:r w:rsidRPr="003F2451">
              <w:rPr>
                <w:b/>
              </w:rPr>
              <w:t>att</w:t>
            </w:r>
            <w:r w:rsidRPr="003F2451">
              <w:rPr>
                <w:b/>
              </w:rPr>
              <w:t>e</w:t>
            </w:r>
            <w:r w:rsidRPr="003F2451">
              <w:rPr>
                <w:b/>
              </w:rPr>
              <w:t>sta: “… la porzione di interesse è posta nelle vicinanze di alcuni el</w:t>
            </w:r>
            <w:r w:rsidRPr="003F2451">
              <w:rPr>
                <w:b/>
              </w:rPr>
              <w:t>e</w:t>
            </w:r>
            <w:r w:rsidRPr="003F2451">
              <w:rPr>
                <w:b/>
              </w:rPr>
              <w:t xml:space="preserve">menti tettonici appartenenti al sistema di </w:t>
            </w:r>
            <w:r w:rsidRPr="003F2451">
              <w:rPr>
                <w:b/>
                <w:i/>
                <w:iCs/>
              </w:rPr>
              <w:t xml:space="preserve">horst </w:t>
            </w:r>
            <w:r w:rsidRPr="003F2451">
              <w:rPr>
                <w:b/>
              </w:rPr>
              <w:t xml:space="preserve">e </w:t>
            </w:r>
            <w:r w:rsidRPr="003F2451">
              <w:rPr>
                <w:b/>
                <w:i/>
                <w:iCs/>
              </w:rPr>
              <w:t xml:space="preserve">graben </w:t>
            </w:r>
            <w:r w:rsidRPr="003F2451">
              <w:rPr>
                <w:b/>
              </w:rPr>
              <w:t>dell’area ap</w:t>
            </w:r>
            <w:r w:rsidRPr="003F2451">
              <w:rPr>
                <w:b/>
              </w:rPr>
              <w:t>u</w:t>
            </w:r>
            <w:r w:rsidRPr="003F2451">
              <w:rPr>
                <w:b/>
              </w:rPr>
              <w:t>lo-lucana</w:t>
            </w:r>
            <w:r w:rsidRPr="003F2451">
              <w:t>; nello specifico, si tratta di strutture a cinematica diretta che cost</w:t>
            </w:r>
            <w:r w:rsidRPr="003F2451">
              <w:t>i</w:t>
            </w:r>
            <w:r w:rsidRPr="003F2451">
              <w:t xml:space="preserve">tuiscono parte del </w:t>
            </w:r>
            <w:r w:rsidRPr="003F2451">
              <w:rPr>
                <w:i/>
                <w:iCs/>
              </w:rPr>
              <w:t xml:space="preserve">graben </w:t>
            </w:r>
            <w:r w:rsidRPr="003F2451">
              <w:t xml:space="preserve">di Viglione. </w:t>
            </w:r>
            <w:r w:rsidRPr="003F2451">
              <w:rPr>
                <w:b/>
              </w:rPr>
              <w:t>A scala regionale queste strutture mostrano attività sin e postdeposizionale nelle Calcareniti di Gravina e nelle Argille Subappennine, con rigetti anche decametrici, dimostra</w:t>
            </w:r>
            <w:r w:rsidRPr="003F2451">
              <w:rPr>
                <w:b/>
              </w:rPr>
              <w:t>n</w:t>
            </w:r>
            <w:r w:rsidRPr="003F2451">
              <w:rPr>
                <w:b/>
              </w:rPr>
              <w:t>do quindi un’attività certa fino al Calabriano</w:t>
            </w:r>
            <w:r w:rsidRPr="003F2451">
              <w:t xml:space="preserve">”. </w:t>
            </w:r>
            <w:r w:rsidR="0000787C" w:rsidRPr="003F2451">
              <w:rPr>
                <w:color w:val="FF0000"/>
              </w:rPr>
              <w:t>Osservazioni:</w:t>
            </w:r>
            <w:r w:rsidR="0000787C" w:rsidRPr="003F2451">
              <w:rPr>
                <w:b/>
                <w:color w:val="FF0000"/>
              </w:rPr>
              <w:t xml:space="preserve"> </w:t>
            </w:r>
            <w:r w:rsidR="00716C5D" w:rsidRPr="003F2451">
              <w:rPr>
                <w:b/>
                <w:color w:val="FF0000"/>
              </w:rPr>
              <w:t>Per l</w:t>
            </w:r>
            <w:r w:rsidR="00BE625A" w:rsidRPr="003F2451">
              <w:rPr>
                <w:b/>
                <w:color w:val="FF0000"/>
              </w:rPr>
              <w:t>’</w:t>
            </w:r>
            <w:r w:rsidR="00716C5D" w:rsidRPr="003F2451">
              <w:rPr>
                <w:b/>
                <w:color w:val="FF0000"/>
              </w:rPr>
              <w:t>are</w:t>
            </w:r>
            <w:r w:rsidR="00BE625A" w:rsidRPr="003F2451">
              <w:rPr>
                <w:b/>
                <w:color w:val="FF0000"/>
              </w:rPr>
              <w:t>a</w:t>
            </w:r>
            <w:r w:rsidR="00716C5D" w:rsidRPr="003F2451">
              <w:rPr>
                <w:b/>
                <w:color w:val="FF0000"/>
              </w:rPr>
              <w:t xml:space="preserve"> individuat</w:t>
            </w:r>
            <w:r w:rsidR="00BE625A" w:rsidRPr="003F2451">
              <w:rPr>
                <w:b/>
                <w:color w:val="FF0000"/>
              </w:rPr>
              <w:t>a</w:t>
            </w:r>
            <w:r w:rsidR="00716C5D" w:rsidRPr="003F2451">
              <w:rPr>
                <w:b/>
                <w:color w:val="FF0000"/>
              </w:rPr>
              <w:t xml:space="preserve">, pur essendo </w:t>
            </w:r>
            <w:r w:rsidR="003A10C4" w:rsidRPr="003F2451">
              <w:rPr>
                <w:b/>
                <w:color w:val="FF0000"/>
              </w:rPr>
              <w:t>state riconosciute delle faglie a cinematica diretta</w:t>
            </w:r>
            <w:r w:rsidR="00E91053" w:rsidRPr="003F2451">
              <w:rPr>
                <w:b/>
                <w:color w:val="FF0000"/>
              </w:rPr>
              <w:t xml:space="preserve"> facenti parte di un sistema strutturale a horst e graben</w:t>
            </w:r>
            <w:r w:rsidR="009B3508" w:rsidRPr="003F2451">
              <w:rPr>
                <w:b/>
                <w:color w:val="FF0000"/>
              </w:rPr>
              <w:t xml:space="preserve"> (Tav. 1 della Relazione Tecnica sull’area)</w:t>
            </w:r>
            <w:r w:rsidR="003A10C4" w:rsidRPr="003F2451">
              <w:rPr>
                <w:b/>
                <w:color w:val="FF0000"/>
              </w:rPr>
              <w:t>,</w:t>
            </w:r>
            <w:r w:rsidR="00716C5D" w:rsidRPr="003F2451">
              <w:rPr>
                <w:b/>
                <w:color w:val="FF0000"/>
              </w:rPr>
              <w:t xml:space="preserve"> manca completamente una ric</w:t>
            </w:r>
            <w:r w:rsidR="00716C5D" w:rsidRPr="003F2451">
              <w:rPr>
                <w:b/>
                <w:color w:val="FF0000"/>
              </w:rPr>
              <w:t>o</w:t>
            </w:r>
            <w:r w:rsidR="00716C5D" w:rsidRPr="003F2451">
              <w:rPr>
                <w:b/>
                <w:color w:val="FF0000"/>
              </w:rPr>
              <w:t>struzione dell’assetto tettonico-strutturale</w:t>
            </w:r>
            <w:r w:rsidR="003A10C4" w:rsidRPr="003F2451">
              <w:rPr>
                <w:b/>
                <w:color w:val="FF0000"/>
              </w:rPr>
              <w:t xml:space="preserve"> a scala regionale che i</w:t>
            </w:r>
            <w:r w:rsidR="003A10C4" w:rsidRPr="003F2451">
              <w:rPr>
                <w:b/>
                <w:color w:val="FF0000"/>
              </w:rPr>
              <w:t>n</w:t>
            </w:r>
            <w:r w:rsidR="003A10C4" w:rsidRPr="003F2451">
              <w:rPr>
                <w:b/>
                <w:color w:val="FF0000"/>
              </w:rPr>
              <w:t xml:space="preserve">quadri </w:t>
            </w:r>
            <w:r w:rsidR="00E91053" w:rsidRPr="003F2451">
              <w:rPr>
                <w:b/>
                <w:color w:val="FF0000"/>
              </w:rPr>
              <w:t xml:space="preserve">tali faglie </w:t>
            </w:r>
            <w:r w:rsidR="003A10C4" w:rsidRPr="003F2451">
              <w:rPr>
                <w:b/>
                <w:color w:val="FF0000"/>
              </w:rPr>
              <w:t xml:space="preserve">nella </w:t>
            </w:r>
            <w:r w:rsidR="00352D92" w:rsidRPr="003F2451">
              <w:rPr>
                <w:b/>
                <w:color w:val="FF0000"/>
              </w:rPr>
              <w:t>geodinamica regionale</w:t>
            </w:r>
            <w:r w:rsidR="003A10C4" w:rsidRPr="003F2451">
              <w:rPr>
                <w:b/>
                <w:color w:val="FF0000"/>
              </w:rPr>
              <w:t xml:space="preserve"> in atto</w:t>
            </w:r>
            <w:r w:rsidR="00543518" w:rsidRPr="003F2451">
              <w:rPr>
                <w:b/>
                <w:color w:val="FF0000"/>
              </w:rPr>
              <w:t>. Tale carenza r</w:t>
            </w:r>
            <w:r w:rsidR="00543518" w:rsidRPr="003F2451">
              <w:rPr>
                <w:b/>
                <w:color w:val="FF0000"/>
              </w:rPr>
              <w:t>i</w:t>
            </w:r>
            <w:r w:rsidR="00543518" w:rsidRPr="003F2451">
              <w:rPr>
                <w:b/>
                <w:color w:val="FF0000"/>
              </w:rPr>
              <w:t>sulta determinante, come già evidenziato nei commenti Tecnico-Scientifici preliminari, ai fini della definizione della eventuale attività</w:t>
            </w:r>
            <w:r w:rsidR="00DA37C3" w:rsidRPr="003F2451">
              <w:rPr>
                <w:b/>
                <w:color w:val="FF0000"/>
              </w:rPr>
              <w:t xml:space="preserve"> di questi elementi tettonici, per altro attestata dallo studio SOGIN dell’area DN GS 00161 del 10-01-2020 Revisione 03 fino al Piano Ioni</w:t>
            </w:r>
            <w:r w:rsidR="00DA37C3" w:rsidRPr="003F2451">
              <w:rPr>
                <w:b/>
                <w:color w:val="FF0000"/>
              </w:rPr>
              <w:t>a</w:t>
            </w:r>
            <w:r w:rsidR="00DA37C3" w:rsidRPr="003F2451">
              <w:rPr>
                <w:b/>
                <w:color w:val="FF0000"/>
              </w:rPr>
              <w:t>no (0.126-0.781 Ma</w:t>
            </w:r>
            <w:r w:rsidR="003476BB" w:rsidRPr="003F2451">
              <w:rPr>
                <w:b/>
                <w:color w:val="FF0000"/>
              </w:rPr>
              <w:t>).</w:t>
            </w:r>
            <w:r w:rsidR="003476BB" w:rsidRPr="003F2451">
              <w:rPr>
                <w:rFonts w:ascii="Times New Roman" w:hAnsi="Times New Roman"/>
                <w:b/>
                <w:color w:val="FF0000"/>
                <w:sz w:val="24"/>
                <w:szCs w:val="24"/>
              </w:rPr>
              <w:t xml:space="preserve"> </w:t>
            </w:r>
            <w:r w:rsidR="003476BB" w:rsidRPr="003F2451">
              <w:rPr>
                <w:b/>
                <w:color w:val="FF0000"/>
              </w:rPr>
              <w:t>La bibliografia disponibile e lo schema tettonico-strutturale prodotto in studi in corso (Bruno G. 2020 studio inedito per il progetto di ricerca MEDSAL) datano la tettonica dell’area come sic</w:t>
            </w:r>
            <w:r w:rsidR="003476BB" w:rsidRPr="003F2451">
              <w:rPr>
                <w:b/>
                <w:color w:val="FF0000"/>
              </w:rPr>
              <w:t>u</w:t>
            </w:r>
            <w:r w:rsidR="003476BB" w:rsidRPr="003F2451">
              <w:rPr>
                <w:b/>
                <w:color w:val="FF0000"/>
              </w:rPr>
              <w:t>ramente Plio-pleistocenica, con un quadro geodinamico in grado di riattivare potenziali cinematismi nelle faglie a carattere diretto e tr</w:t>
            </w:r>
            <w:r w:rsidR="003476BB" w:rsidRPr="003F2451">
              <w:rPr>
                <w:b/>
                <w:color w:val="FF0000"/>
              </w:rPr>
              <w:t>a</w:t>
            </w:r>
            <w:r w:rsidR="003476BB" w:rsidRPr="003F2451">
              <w:rPr>
                <w:b/>
                <w:color w:val="FF0000"/>
              </w:rPr>
              <w:t xml:space="preserve">scorrente destro. </w:t>
            </w:r>
            <w:r w:rsidR="00906C69" w:rsidRPr="003F2451">
              <w:rPr>
                <w:b/>
                <w:color w:val="FF0000"/>
              </w:rPr>
              <w:t>Inesistente è la bibliografia riguardante l’area p</w:t>
            </w:r>
            <w:r w:rsidR="00906C69" w:rsidRPr="003F2451">
              <w:rPr>
                <w:b/>
                <w:color w:val="FF0000"/>
              </w:rPr>
              <w:t>u</w:t>
            </w:r>
            <w:r w:rsidR="00906C69" w:rsidRPr="003F2451">
              <w:rPr>
                <w:b/>
                <w:color w:val="FF0000"/>
              </w:rPr>
              <w:t>gliese</w:t>
            </w:r>
            <w:r w:rsidR="00906C69" w:rsidRPr="003F2451">
              <w:rPr>
                <w:color w:val="FF0000"/>
              </w:rPr>
              <w:t>, pur presente,</w:t>
            </w:r>
            <w:r w:rsidR="00906C69" w:rsidRPr="003F2451">
              <w:rPr>
                <w:b/>
                <w:color w:val="FF0000"/>
              </w:rPr>
              <w:t xml:space="preserve"> </w:t>
            </w:r>
            <w:r w:rsidR="00906C69" w:rsidRPr="003F2451">
              <w:rPr>
                <w:color w:val="FF0000"/>
              </w:rPr>
              <w:t>se si fa eccezione dello studio SOGIN (2015) – Studio del quadro conoscitivo relativo alla pericolosità da fagliazione superficiale su aree selezionate, elaborato DN GS 00223 del 21-07-2015 (DISAT-Università degli Studi dell’Insubria) non reperito nella sua interezza, dell’elaborato SOGIN DN GS 00224 del 04-05-2015 a firma Scandone P. &amp; Patacca E. (Indagini sismotettoniche finalizzate all’applicazione dei criteri CE1, CE2 e CE3 della guida tecnica 29 ISPRA per la redazione della carta nazionale delle aree potenzialmente idonee (CNAPI) ai fini della localizz</w:t>
            </w:r>
            <w:r w:rsidR="00906C69" w:rsidRPr="003F2451">
              <w:rPr>
                <w:color w:val="FF0000"/>
              </w:rPr>
              <w:t>a</w:t>
            </w:r>
            <w:r w:rsidR="00906C69" w:rsidRPr="003F2451">
              <w:rPr>
                <w:color w:val="FF0000"/>
              </w:rPr>
              <w:t xml:space="preserve">zione del deposito nazionale dei rifiuti radioattivi a bassa e media attività e del connesso parco tecnologico (DNPT)) e della pubblicazione </w:t>
            </w:r>
            <w:r w:rsidR="00906C69" w:rsidRPr="003F2451">
              <w:rPr>
                <w:rFonts w:eastAsia="Cambria" w:cs="Arial"/>
                <w:color w:val="FF0000"/>
              </w:rPr>
              <w:t xml:space="preserve">Porfido, S. et al. </w:t>
            </w:r>
            <w:r w:rsidR="00906C69" w:rsidRPr="003F2451">
              <w:rPr>
                <w:rFonts w:eastAsia="Cambria" w:cs="Arial"/>
                <w:color w:val="FF0000"/>
                <w:lang w:val="en-GB"/>
              </w:rPr>
              <w:t xml:space="preserve">(2007) </w:t>
            </w:r>
            <w:r w:rsidR="00906C69" w:rsidRPr="003F2451">
              <w:rPr>
                <w:rFonts w:eastAsia="Cambria" w:cs="Arial"/>
                <w:iCs/>
                <w:color w:val="FF0000"/>
                <w:lang w:val="en-GB"/>
              </w:rPr>
              <w:t xml:space="preserve">Seismically induced ground effects of the 1805, 1930 and 1980 earthquakes in the Southern Apennines (Italy). </w:t>
            </w:r>
            <w:r w:rsidR="00906C69" w:rsidRPr="003F2451">
              <w:rPr>
                <w:rFonts w:eastAsia="Cambria" w:cs="Arial"/>
                <w:iCs/>
                <w:color w:val="FF0000"/>
              </w:rPr>
              <w:t>Boll. Soc. Geol. It.(Ital. J. Geosci.).</w:t>
            </w:r>
          </w:p>
        </w:tc>
      </w:tr>
      <w:tr w:rsidR="00E67EDB" w:rsidTr="00EF762F">
        <w:trPr>
          <w:trHeight w:val="567"/>
        </w:trPr>
        <w:tc>
          <w:tcPr>
            <w:tcW w:w="2943" w:type="dxa"/>
            <w:vAlign w:val="center"/>
          </w:tcPr>
          <w:p w:rsidR="00E67EDB" w:rsidRDefault="00E67EDB" w:rsidP="00EF762F">
            <w:pPr>
              <w:pStyle w:val="LABELSEMPLICI"/>
            </w:pPr>
            <w:r w:rsidRPr="00E67EDB">
              <w:t xml:space="preserve">CE4. </w:t>
            </w:r>
            <w:r>
              <w:t xml:space="preserve">aree </w:t>
            </w:r>
            <w:r w:rsidRPr="00E67EDB">
              <w:t>caratterizzate da rischio e/o pericolosità ge</w:t>
            </w:r>
            <w:r w:rsidRPr="00E67EDB">
              <w:t>o</w:t>
            </w:r>
            <w:r w:rsidRPr="00E67EDB">
              <w:t>morfologica e/o idraulica di qualsiasi grado e le fasce fl</w:t>
            </w:r>
            <w:r w:rsidRPr="00E67EDB">
              <w:t>u</w:t>
            </w:r>
            <w:r w:rsidRPr="00E67EDB">
              <w:t>viali</w:t>
            </w:r>
          </w:p>
        </w:tc>
        <w:tc>
          <w:tcPr>
            <w:tcW w:w="6266" w:type="dxa"/>
            <w:shd w:val="clear" w:color="auto" w:fill="FFFFFF"/>
            <w:vAlign w:val="center"/>
          </w:tcPr>
          <w:p w:rsidR="00E67EDB" w:rsidRDefault="00E67EDB" w:rsidP="00EF762F">
            <w:pPr>
              <w:pStyle w:val="CAMPI"/>
              <w:jc w:val="both"/>
            </w:pPr>
            <w:r w:rsidRPr="00375B00">
              <w:rPr>
                <w:color w:val="0F243E" w:themeColor="text2" w:themeShade="80"/>
              </w:rPr>
              <w:t>Lorem ipsum dolor sit amet, consectetur adipisci elit, sed do eiusmod te</w:t>
            </w:r>
            <w:r w:rsidRPr="00375B00">
              <w:rPr>
                <w:color w:val="0F243E" w:themeColor="text2" w:themeShade="80"/>
              </w:rPr>
              <w:t>m</w:t>
            </w:r>
            <w:r w:rsidRPr="00375B00">
              <w:rPr>
                <w:color w:val="0F243E" w:themeColor="text2" w:themeShade="80"/>
              </w:rPr>
              <w:t xml:space="preserve">por incidunt ut labore et dolore magna aliqua. </w:t>
            </w:r>
            <w:r w:rsidRPr="00C24F6B">
              <w:rPr>
                <w:color w:val="0F243E" w:themeColor="text2" w:themeShade="80"/>
              </w:rPr>
              <w:t>Ut enim ad minim veniam, quis nostrum exercitationem ullamco laboriosam, nisi ut aliquid ex ea co</w:t>
            </w:r>
            <w:r w:rsidRPr="00C24F6B">
              <w:rPr>
                <w:color w:val="0F243E" w:themeColor="text2" w:themeShade="80"/>
              </w:rPr>
              <w:t>m</w:t>
            </w:r>
            <w:r w:rsidRPr="00C24F6B">
              <w:rPr>
                <w:color w:val="0F243E" w:themeColor="text2" w:themeShade="80"/>
              </w:rPr>
              <w:t>modi consequatur.</w:t>
            </w:r>
          </w:p>
        </w:tc>
      </w:tr>
      <w:tr w:rsidR="00E67EDB" w:rsidTr="00EF762F">
        <w:trPr>
          <w:trHeight w:val="567"/>
        </w:trPr>
        <w:tc>
          <w:tcPr>
            <w:tcW w:w="2943" w:type="dxa"/>
            <w:vAlign w:val="center"/>
          </w:tcPr>
          <w:p w:rsidR="00276272" w:rsidRPr="00383F72" w:rsidRDefault="00276272" w:rsidP="00276272">
            <w:pPr>
              <w:pStyle w:val="LABELSEMPLICI"/>
              <w:rPr>
                <w:rFonts w:ascii="Times New Roman" w:hAnsi="Times New Roman"/>
                <w:b/>
                <w:bCs/>
                <w:sz w:val="24"/>
              </w:rPr>
            </w:pPr>
            <w:r w:rsidRPr="00383F72">
              <w:rPr>
                <w:rFonts w:ascii="Times New Roman" w:hAnsi="Times New Roman"/>
                <w:b/>
                <w:bCs/>
                <w:sz w:val="24"/>
              </w:rPr>
              <w:lastRenderedPageBreak/>
              <w:t>CE5. contraddistinte dalla presenza di depositi all</w:t>
            </w:r>
            <w:r w:rsidRPr="00383F72">
              <w:rPr>
                <w:rFonts w:ascii="Times New Roman" w:hAnsi="Times New Roman"/>
                <w:b/>
                <w:bCs/>
                <w:sz w:val="24"/>
              </w:rPr>
              <w:t>u</w:t>
            </w:r>
            <w:r w:rsidRPr="00383F72">
              <w:rPr>
                <w:rFonts w:ascii="Times New Roman" w:hAnsi="Times New Roman"/>
                <w:b/>
                <w:bCs/>
                <w:sz w:val="24"/>
              </w:rPr>
              <w:t>vionali di età olocenica</w:t>
            </w:r>
          </w:p>
          <w:p w:rsidR="00276272" w:rsidRPr="00383F72" w:rsidRDefault="00276272" w:rsidP="00276272">
            <w:pPr>
              <w:pStyle w:val="LABELSEMPLICI"/>
              <w:rPr>
                <w:rFonts w:ascii="Times New Roman" w:hAnsi="Times New Roman"/>
                <w:i/>
                <w:iCs/>
                <w:sz w:val="24"/>
              </w:rPr>
            </w:pPr>
            <w:r w:rsidRPr="00383F72">
              <w:rPr>
                <w:rFonts w:ascii="Times New Roman" w:hAnsi="Times New Roman"/>
                <w:i/>
                <w:iCs/>
                <w:sz w:val="24"/>
              </w:rPr>
              <w:t>“Queste zone sono caratt</w:t>
            </w:r>
            <w:r w:rsidRPr="00383F72">
              <w:rPr>
                <w:rFonts w:ascii="Times New Roman" w:hAnsi="Times New Roman"/>
                <w:i/>
                <w:iCs/>
                <w:sz w:val="24"/>
              </w:rPr>
              <w:t>e</w:t>
            </w:r>
            <w:r w:rsidRPr="00383F72">
              <w:rPr>
                <w:rFonts w:ascii="Times New Roman" w:hAnsi="Times New Roman"/>
                <w:i/>
                <w:iCs/>
                <w:sz w:val="24"/>
              </w:rPr>
              <w:t>rizzate dalla presenza di depositi alluvionali messi</w:t>
            </w:r>
          </w:p>
          <w:p w:rsidR="00276272" w:rsidRPr="00383F72" w:rsidRDefault="00276272" w:rsidP="00276272">
            <w:pPr>
              <w:pStyle w:val="LABELSEMPLICI"/>
              <w:rPr>
                <w:rFonts w:ascii="Times New Roman" w:hAnsi="Times New Roman"/>
                <w:i/>
                <w:iCs/>
                <w:sz w:val="24"/>
              </w:rPr>
            </w:pPr>
            <w:r w:rsidRPr="00383F72">
              <w:rPr>
                <w:rFonts w:ascii="Times New Roman" w:hAnsi="Times New Roman"/>
                <w:i/>
                <w:iCs/>
                <w:sz w:val="24"/>
              </w:rPr>
              <w:t>in posto dalla dinamica fl</w:t>
            </w:r>
            <w:r w:rsidRPr="00383F72">
              <w:rPr>
                <w:rFonts w:ascii="Times New Roman" w:hAnsi="Times New Roman"/>
                <w:i/>
                <w:iCs/>
                <w:sz w:val="24"/>
              </w:rPr>
              <w:t>u</w:t>
            </w:r>
            <w:r w:rsidRPr="00383F72">
              <w:rPr>
                <w:rFonts w:ascii="Times New Roman" w:hAnsi="Times New Roman"/>
                <w:i/>
                <w:iCs/>
                <w:sz w:val="24"/>
              </w:rPr>
              <w:t>viale durante l’Olocene. L’esclusione di tali aree</w:t>
            </w:r>
          </w:p>
          <w:p w:rsidR="00276272" w:rsidRPr="00383F72" w:rsidRDefault="00276272" w:rsidP="00276272">
            <w:pPr>
              <w:pStyle w:val="LABELSEMPLICI"/>
              <w:rPr>
                <w:rFonts w:ascii="Times New Roman" w:hAnsi="Times New Roman"/>
                <w:i/>
                <w:iCs/>
                <w:sz w:val="24"/>
              </w:rPr>
            </w:pPr>
            <w:r w:rsidRPr="00383F72">
              <w:rPr>
                <w:rFonts w:ascii="Times New Roman" w:hAnsi="Times New Roman"/>
                <w:i/>
                <w:iCs/>
                <w:sz w:val="24"/>
              </w:rPr>
              <w:t>è un ulteriore elemento pr</w:t>
            </w:r>
            <w:r w:rsidRPr="00383F72">
              <w:rPr>
                <w:rFonts w:ascii="Times New Roman" w:hAnsi="Times New Roman"/>
                <w:i/>
                <w:iCs/>
                <w:sz w:val="24"/>
              </w:rPr>
              <w:t>e</w:t>
            </w:r>
            <w:r w:rsidRPr="00383F72">
              <w:rPr>
                <w:rFonts w:ascii="Times New Roman" w:hAnsi="Times New Roman"/>
                <w:i/>
                <w:iCs/>
                <w:sz w:val="24"/>
              </w:rPr>
              <w:t>cauzionale per la minimi</w:t>
            </w:r>
            <w:r w:rsidRPr="00383F72">
              <w:rPr>
                <w:rFonts w:ascii="Times New Roman" w:hAnsi="Times New Roman"/>
                <w:i/>
                <w:iCs/>
                <w:sz w:val="24"/>
              </w:rPr>
              <w:t>z</w:t>
            </w:r>
            <w:r w:rsidRPr="00383F72">
              <w:rPr>
                <w:rFonts w:ascii="Times New Roman" w:hAnsi="Times New Roman"/>
                <w:i/>
                <w:iCs/>
                <w:sz w:val="24"/>
              </w:rPr>
              <w:t>zazione del rischio</w:t>
            </w:r>
          </w:p>
          <w:p w:rsidR="00E67EDB" w:rsidRDefault="00276272" w:rsidP="00276272">
            <w:pPr>
              <w:pStyle w:val="LABELSEMPLICI"/>
            </w:pPr>
            <w:r w:rsidRPr="00383F72">
              <w:rPr>
                <w:rFonts w:ascii="Times New Roman" w:hAnsi="Times New Roman"/>
                <w:i/>
                <w:iCs/>
                <w:sz w:val="24"/>
              </w:rPr>
              <w:t>idraulico”.</w:t>
            </w:r>
          </w:p>
        </w:tc>
        <w:tc>
          <w:tcPr>
            <w:tcW w:w="6266" w:type="dxa"/>
            <w:shd w:val="clear" w:color="auto" w:fill="FFFFFF"/>
            <w:vAlign w:val="center"/>
          </w:tcPr>
          <w:p w:rsidR="00E67EDB" w:rsidRDefault="00E67EDB" w:rsidP="00EF762F">
            <w:pPr>
              <w:pStyle w:val="CAMPI"/>
              <w:jc w:val="both"/>
            </w:pPr>
            <w:r w:rsidRPr="00375B00">
              <w:rPr>
                <w:color w:val="0F243E" w:themeColor="text2" w:themeShade="80"/>
              </w:rPr>
              <w:t>Lorem ipsum dolor sit amet, consectetur adipisci elit, sed do eiusmod te</w:t>
            </w:r>
            <w:r w:rsidRPr="00375B00">
              <w:rPr>
                <w:color w:val="0F243E" w:themeColor="text2" w:themeShade="80"/>
              </w:rPr>
              <w:t>m</w:t>
            </w:r>
            <w:r w:rsidRPr="00375B00">
              <w:rPr>
                <w:color w:val="0F243E" w:themeColor="text2" w:themeShade="80"/>
              </w:rPr>
              <w:t xml:space="preserve">por incidunt ut labore et dolore magna aliqua. </w:t>
            </w:r>
            <w:r w:rsidRPr="00C24F6B">
              <w:rPr>
                <w:color w:val="0F243E" w:themeColor="text2" w:themeShade="80"/>
              </w:rPr>
              <w:t>Ut enim ad minim veniam, quis nostrum exercitationem ullamco laboriosam, nisi ut aliquid ex ea co</w:t>
            </w:r>
            <w:r w:rsidRPr="00C24F6B">
              <w:rPr>
                <w:color w:val="0F243E" w:themeColor="text2" w:themeShade="80"/>
              </w:rPr>
              <w:t>m</w:t>
            </w:r>
            <w:r w:rsidRPr="00C24F6B">
              <w:rPr>
                <w:color w:val="0F243E" w:themeColor="text2" w:themeShade="80"/>
              </w:rPr>
              <w:t>modi consequatur.</w:t>
            </w:r>
          </w:p>
        </w:tc>
      </w:tr>
      <w:tr w:rsidR="00E67EDB" w:rsidTr="00EF762F">
        <w:trPr>
          <w:trHeight w:val="567"/>
        </w:trPr>
        <w:tc>
          <w:tcPr>
            <w:tcW w:w="2943" w:type="dxa"/>
            <w:vAlign w:val="center"/>
          </w:tcPr>
          <w:p w:rsidR="00E67EDB" w:rsidRDefault="00E67EDB" w:rsidP="00EF762F">
            <w:pPr>
              <w:pStyle w:val="LABELSEMPLICI"/>
            </w:pPr>
            <w:r w:rsidRPr="00E67EDB">
              <w:t xml:space="preserve">CE6. </w:t>
            </w:r>
            <w:r>
              <w:t xml:space="preserve">aree </w:t>
            </w:r>
            <w:r w:rsidRPr="00E67EDB">
              <w:t>ubicate ad altitud</w:t>
            </w:r>
            <w:r w:rsidRPr="00E67EDB">
              <w:t>i</w:t>
            </w:r>
            <w:r w:rsidRPr="00E67EDB">
              <w:t>ne maggiore di 700 m s.l.m.</w:t>
            </w:r>
          </w:p>
        </w:tc>
        <w:tc>
          <w:tcPr>
            <w:tcW w:w="6266" w:type="dxa"/>
            <w:shd w:val="clear" w:color="auto" w:fill="FFFFFF"/>
            <w:vAlign w:val="center"/>
          </w:tcPr>
          <w:p w:rsidR="00E67EDB" w:rsidRDefault="00E67EDB" w:rsidP="00EF762F">
            <w:pPr>
              <w:pStyle w:val="CAMPI"/>
              <w:jc w:val="both"/>
            </w:pPr>
            <w:r w:rsidRPr="00375B00">
              <w:rPr>
                <w:color w:val="0F243E" w:themeColor="text2" w:themeShade="80"/>
              </w:rPr>
              <w:t>Lorem ipsum dolor sit amet, consectetur adipisci elit, sed do eiusmod te</w:t>
            </w:r>
            <w:r w:rsidRPr="00375B00">
              <w:rPr>
                <w:color w:val="0F243E" w:themeColor="text2" w:themeShade="80"/>
              </w:rPr>
              <w:t>m</w:t>
            </w:r>
            <w:r w:rsidRPr="00375B00">
              <w:rPr>
                <w:color w:val="0F243E" w:themeColor="text2" w:themeShade="80"/>
              </w:rPr>
              <w:t xml:space="preserve">por incidunt ut labore et dolore magna aliqua. </w:t>
            </w:r>
            <w:r w:rsidRPr="00C24F6B">
              <w:rPr>
                <w:color w:val="0F243E" w:themeColor="text2" w:themeShade="80"/>
              </w:rPr>
              <w:t>Ut enim ad minim veniam, quis nostrum exercitationem ullamco laboriosam, nisi ut aliquid ex ea co</w:t>
            </w:r>
            <w:r w:rsidRPr="00C24F6B">
              <w:rPr>
                <w:color w:val="0F243E" w:themeColor="text2" w:themeShade="80"/>
              </w:rPr>
              <w:t>m</w:t>
            </w:r>
            <w:r w:rsidRPr="00C24F6B">
              <w:rPr>
                <w:color w:val="0F243E" w:themeColor="text2" w:themeShade="80"/>
              </w:rPr>
              <w:t>modi consequatur.</w:t>
            </w:r>
          </w:p>
        </w:tc>
      </w:tr>
      <w:tr w:rsidR="00E67EDB" w:rsidTr="00EF762F">
        <w:trPr>
          <w:trHeight w:val="567"/>
        </w:trPr>
        <w:tc>
          <w:tcPr>
            <w:tcW w:w="2943" w:type="dxa"/>
            <w:vAlign w:val="center"/>
          </w:tcPr>
          <w:p w:rsidR="00E67EDB" w:rsidRDefault="00E67EDB" w:rsidP="00EF762F">
            <w:pPr>
              <w:pStyle w:val="LABELSEMPLICI"/>
            </w:pPr>
            <w:r w:rsidRPr="00E67EDB">
              <w:t xml:space="preserve">CE7. </w:t>
            </w:r>
            <w:r>
              <w:t xml:space="preserve">aree </w:t>
            </w:r>
            <w:r w:rsidRPr="00E67EDB">
              <w:t>caratterizzate da versanti con pendenza media maggiore del 10%</w:t>
            </w:r>
          </w:p>
        </w:tc>
        <w:tc>
          <w:tcPr>
            <w:tcW w:w="6266" w:type="dxa"/>
            <w:shd w:val="clear" w:color="auto" w:fill="FFFFFF"/>
            <w:vAlign w:val="center"/>
          </w:tcPr>
          <w:p w:rsidR="00E67EDB" w:rsidRDefault="00E67EDB" w:rsidP="00EF762F">
            <w:pPr>
              <w:pStyle w:val="CAMPI"/>
              <w:jc w:val="both"/>
            </w:pPr>
            <w:r w:rsidRPr="00375B00">
              <w:rPr>
                <w:color w:val="0F243E" w:themeColor="text2" w:themeShade="80"/>
              </w:rPr>
              <w:t>Lorem ipsum dolor sit amet, consectetur adipisci elit, sed do eiusmod te</w:t>
            </w:r>
            <w:r w:rsidRPr="00375B00">
              <w:rPr>
                <w:color w:val="0F243E" w:themeColor="text2" w:themeShade="80"/>
              </w:rPr>
              <w:t>m</w:t>
            </w:r>
            <w:r w:rsidRPr="00375B00">
              <w:rPr>
                <w:color w:val="0F243E" w:themeColor="text2" w:themeShade="80"/>
              </w:rPr>
              <w:t xml:space="preserve">por incidunt ut labore et dolore magna aliqua. </w:t>
            </w:r>
            <w:r w:rsidRPr="00C24F6B">
              <w:rPr>
                <w:color w:val="0F243E" w:themeColor="text2" w:themeShade="80"/>
              </w:rPr>
              <w:t>Ut enim ad minim veniam, quis nostrum exercitationem ullamco laboriosam, nisi ut aliquid ex ea co</w:t>
            </w:r>
            <w:r w:rsidRPr="00C24F6B">
              <w:rPr>
                <w:color w:val="0F243E" w:themeColor="text2" w:themeShade="80"/>
              </w:rPr>
              <w:t>m</w:t>
            </w:r>
            <w:r w:rsidRPr="00C24F6B">
              <w:rPr>
                <w:color w:val="0F243E" w:themeColor="text2" w:themeShade="80"/>
              </w:rPr>
              <w:t>modi consequatur.</w:t>
            </w:r>
          </w:p>
        </w:tc>
      </w:tr>
      <w:tr w:rsidR="00E67EDB" w:rsidTr="00EF762F">
        <w:trPr>
          <w:trHeight w:val="567"/>
        </w:trPr>
        <w:tc>
          <w:tcPr>
            <w:tcW w:w="2943" w:type="dxa"/>
            <w:vAlign w:val="center"/>
          </w:tcPr>
          <w:p w:rsidR="00E67EDB" w:rsidRDefault="00E67EDB" w:rsidP="00EF762F">
            <w:pPr>
              <w:pStyle w:val="LABELSEMPLICI"/>
            </w:pPr>
            <w:r w:rsidRPr="00E67EDB">
              <w:t xml:space="preserve">CE8. </w:t>
            </w:r>
            <w:r>
              <w:t xml:space="preserve">aree </w:t>
            </w:r>
            <w:r w:rsidRPr="00E67EDB">
              <w:t>sino alla distanza di 5 km dalla linea di costa attu</w:t>
            </w:r>
            <w:r w:rsidRPr="00E67EDB">
              <w:t>a</w:t>
            </w:r>
            <w:r w:rsidRPr="00E67EDB">
              <w:t>le oppure ubicate a distanza maggiore ma ad altitudine m</w:t>
            </w:r>
            <w:r w:rsidRPr="00E67EDB">
              <w:t>i</w:t>
            </w:r>
            <w:r w:rsidRPr="00E67EDB">
              <w:t>nore di 20 m s.l.m.</w:t>
            </w:r>
          </w:p>
        </w:tc>
        <w:tc>
          <w:tcPr>
            <w:tcW w:w="6266" w:type="dxa"/>
            <w:shd w:val="clear" w:color="auto" w:fill="FFFFFF"/>
            <w:vAlign w:val="center"/>
          </w:tcPr>
          <w:p w:rsidR="00E67EDB" w:rsidRDefault="00E67EDB" w:rsidP="00EF762F">
            <w:pPr>
              <w:pStyle w:val="CAMPI"/>
              <w:jc w:val="both"/>
            </w:pPr>
            <w:r w:rsidRPr="00375B00">
              <w:rPr>
                <w:color w:val="0F243E" w:themeColor="text2" w:themeShade="80"/>
              </w:rPr>
              <w:t>Lorem ipsum dolor sit amet, consectetur adipisci elit, sed do eiusmod te</w:t>
            </w:r>
            <w:r w:rsidRPr="00375B00">
              <w:rPr>
                <w:color w:val="0F243E" w:themeColor="text2" w:themeShade="80"/>
              </w:rPr>
              <w:t>m</w:t>
            </w:r>
            <w:r w:rsidRPr="00375B00">
              <w:rPr>
                <w:color w:val="0F243E" w:themeColor="text2" w:themeShade="80"/>
              </w:rPr>
              <w:t xml:space="preserve">por incidunt ut labore et dolore magna aliqua. </w:t>
            </w:r>
            <w:r w:rsidRPr="00C24F6B">
              <w:rPr>
                <w:color w:val="0F243E" w:themeColor="text2" w:themeShade="80"/>
              </w:rPr>
              <w:t>Ut enim ad minim veniam, quis nostrum exercitationem ullamco laboriosam, nisi ut aliquid ex ea co</w:t>
            </w:r>
            <w:r w:rsidRPr="00C24F6B">
              <w:rPr>
                <w:color w:val="0F243E" w:themeColor="text2" w:themeShade="80"/>
              </w:rPr>
              <w:t>m</w:t>
            </w:r>
            <w:r w:rsidRPr="00C24F6B">
              <w:rPr>
                <w:color w:val="0F243E" w:themeColor="text2" w:themeShade="80"/>
              </w:rPr>
              <w:t>modi consequatur.</w:t>
            </w:r>
          </w:p>
        </w:tc>
      </w:tr>
      <w:tr w:rsidR="00E67EDB" w:rsidTr="00EF762F">
        <w:trPr>
          <w:trHeight w:val="567"/>
        </w:trPr>
        <w:tc>
          <w:tcPr>
            <w:tcW w:w="2943" w:type="dxa"/>
            <w:vAlign w:val="center"/>
          </w:tcPr>
          <w:p w:rsidR="00E67EDB" w:rsidRDefault="00E67EDB" w:rsidP="00EF762F">
            <w:pPr>
              <w:pStyle w:val="LABELSEMPLICI"/>
            </w:pPr>
            <w:r w:rsidRPr="00E67EDB">
              <w:t xml:space="preserve">CE9. </w:t>
            </w:r>
            <w:r>
              <w:t xml:space="preserve">aree </w:t>
            </w:r>
            <w:r w:rsidRPr="00E67EDB">
              <w:t>interessate dal pr</w:t>
            </w:r>
            <w:r w:rsidRPr="00E67EDB">
              <w:t>o</w:t>
            </w:r>
            <w:r w:rsidRPr="00E67EDB">
              <w:t>cesso morfogenetico carsico o con presenza di sprofond</w:t>
            </w:r>
            <w:r w:rsidRPr="00E67EDB">
              <w:t>a</w:t>
            </w:r>
            <w:r w:rsidRPr="00E67EDB">
              <w:t>menti catastrofici improvvisi (sinkholes)</w:t>
            </w:r>
          </w:p>
        </w:tc>
        <w:tc>
          <w:tcPr>
            <w:tcW w:w="6266" w:type="dxa"/>
            <w:shd w:val="clear" w:color="auto" w:fill="FFFFFF"/>
            <w:vAlign w:val="center"/>
          </w:tcPr>
          <w:p w:rsidR="00E67EDB" w:rsidRDefault="00E67EDB" w:rsidP="00EF762F">
            <w:pPr>
              <w:pStyle w:val="CAMPI"/>
              <w:jc w:val="both"/>
            </w:pPr>
            <w:r w:rsidRPr="00375B00">
              <w:rPr>
                <w:color w:val="0F243E" w:themeColor="text2" w:themeShade="80"/>
              </w:rPr>
              <w:t>Lorem ipsum dolor sit amet, consectetur adipisci elit, sed do eiusmod te</w:t>
            </w:r>
            <w:r w:rsidRPr="00375B00">
              <w:rPr>
                <w:color w:val="0F243E" w:themeColor="text2" w:themeShade="80"/>
              </w:rPr>
              <w:t>m</w:t>
            </w:r>
            <w:r w:rsidRPr="00375B00">
              <w:rPr>
                <w:color w:val="0F243E" w:themeColor="text2" w:themeShade="80"/>
              </w:rPr>
              <w:t xml:space="preserve">por incidunt ut labore et dolore magna aliqua. </w:t>
            </w:r>
            <w:r w:rsidRPr="00C24F6B">
              <w:rPr>
                <w:color w:val="0F243E" w:themeColor="text2" w:themeShade="80"/>
              </w:rPr>
              <w:t>Ut enim ad minim veniam, quis nostrum exercitationem ullamco laboriosam, nisi ut aliquid ex ea co</w:t>
            </w:r>
            <w:r w:rsidRPr="00C24F6B">
              <w:rPr>
                <w:color w:val="0F243E" w:themeColor="text2" w:themeShade="80"/>
              </w:rPr>
              <w:t>m</w:t>
            </w:r>
            <w:r w:rsidRPr="00C24F6B">
              <w:rPr>
                <w:color w:val="0F243E" w:themeColor="text2" w:themeShade="80"/>
              </w:rPr>
              <w:t>modi consequatur.</w:t>
            </w:r>
          </w:p>
        </w:tc>
      </w:tr>
      <w:tr w:rsidR="00E67EDB" w:rsidTr="00EF762F">
        <w:trPr>
          <w:trHeight w:val="567"/>
        </w:trPr>
        <w:tc>
          <w:tcPr>
            <w:tcW w:w="2943" w:type="dxa"/>
            <w:vAlign w:val="center"/>
          </w:tcPr>
          <w:p w:rsidR="00E67EDB" w:rsidRPr="000318C8" w:rsidRDefault="00E67EDB" w:rsidP="00EF762F">
            <w:pPr>
              <w:pStyle w:val="LABELSEMPLICI"/>
              <w:rPr>
                <w:rFonts w:ascii="Times New Roman" w:hAnsi="Times New Roman"/>
                <w:sz w:val="24"/>
              </w:rPr>
            </w:pPr>
            <w:r w:rsidRPr="000318C8">
              <w:rPr>
                <w:rFonts w:ascii="Times New Roman" w:hAnsi="Times New Roman"/>
                <w:b/>
                <w:sz w:val="24"/>
              </w:rPr>
              <w:lastRenderedPageBreak/>
              <w:t>CE10. aree caratterizzate da livelli piezometrici a</w:t>
            </w:r>
            <w:r w:rsidRPr="000318C8">
              <w:rPr>
                <w:rFonts w:ascii="Times New Roman" w:hAnsi="Times New Roman"/>
                <w:b/>
                <w:sz w:val="24"/>
              </w:rPr>
              <w:t>f</w:t>
            </w:r>
            <w:r w:rsidRPr="000318C8">
              <w:rPr>
                <w:rFonts w:ascii="Times New Roman" w:hAnsi="Times New Roman"/>
                <w:b/>
                <w:sz w:val="24"/>
              </w:rPr>
              <w:t>fioranti o che, comunque, possano interferire con le strutture di fondazione del deposito</w:t>
            </w:r>
            <w:r w:rsidR="000318C8" w:rsidRPr="000318C8">
              <w:rPr>
                <w:rFonts w:ascii="Times New Roman" w:hAnsi="Times New Roman"/>
                <w:sz w:val="24"/>
              </w:rPr>
              <w:t xml:space="preserve"> </w:t>
            </w:r>
            <w:r w:rsidR="000318C8" w:rsidRPr="000318C8">
              <w:rPr>
                <w:rFonts w:ascii="Times New Roman" w:eastAsia="Cambria" w:hAnsi="Times New Roman"/>
                <w:b/>
                <w:bCs/>
                <w:sz w:val="24"/>
              </w:rPr>
              <w:t>(Guida Tecnica ISPRA n. 29 2014)</w:t>
            </w:r>
          </w:p>
          <w:p w:rsidR="000318C8" w:rsidRPr="000318C8" w:rsidRDefault="000318C8" w:rsidP="000318C8">
            <w:pPr>
              <w:autoSpaceDE w:val="0"/>
              <w:autoSpaceDN w:val="0"/>
              <w:adjustRightInd w:val="0"/>
              <w:jc w:val="both"/>
              <w:rPr>
                <w:i/>
                <w:iCs/>
                <w:color w:val="000080"/>
              </w:rPr>
            </w:pPr>
            <w:r w:rsidRPr="000318C8">
              <w:rPr>
                <w:i/>
                <w:iCs/>
                <w:color w:val="000080"/>
              </w:rPr>
              <w:t>“La prossimità di acque del sottosuolo, nelle loro variazioni di livello stagionali e non stagionali conosciute, può ridurre il grado di isolamento del deposito e favorire fenomeni di trasferimento di radionuclidi verso la biosfera. Per lo stesso motivo sono da escludere le aree con presenza di</w:t>
            </w:r>
          </w:p>
          <w:p w:rsidR="000318C8" w:rsidRPr="000318C8" w:rsidRDefault="000318C8" w:rsidP="000318C8">
            <w:pPr>
              <w:jc w:val="both"/>
              <w:rPr>
                <w:i/>
                <w:iCs/>
                <w:color w:val="000080"/>
              </w:rPr>
            </w:pPr>
            <w:r w:rsidRPr="000318C8">
              <w:rPr>
                <w:i/>
                <w:iCs/>
                <w:color w:val="000080"/>
              </w:rPr>
              <w:t>sorgenti e di opere di presa di acquedotti”.</w:t>
            </w:r>
          </w:p>
          <w:p w:rsidR="000318C8" w:rsidRDefault="000318C8" w:rsidP="00EF762F">
            <w:pPr>
              <w:pStyle w:val="LABELSEMPLICI"/>
            </w:pPr>
          </w:p>
        </w:tc>
        <w:tc>
          <w:tcPr>
            <w:tcW w:w="6266" w:type="dxa"/>
            <w:shd w:val="clear" w:color="auto" w:fill="FFFFFF"/>
            <w:vAlign w:val="center"/>
          </w:tcPr>
          <w:p w:rsidR="000318C8" w:rsidRPr="003F2451" w:rsidRDefault="000318C8" w:rsidP="000318C8">
            <w:pPr>
              <w:pStyle w:val="CAMPI"/>
              <w:jc w:val="both"/>
              <w:rPr>
                <w:iCs/>
                <w:color w:val="FF0000"/>
              </w:rPr>
            </w:pPr>
            <w:r w:rsidRPr="003F2451">
              <w:rPr>
                <w:b/>
              </w:rPr>
              <w:t>La Relazione Tecnica SOGIN sull’area BA_MT-4</w:t>
            </w:r>
            <w:r w:rsidRPr="003F2451">
              <w:t xml:space="preserve"> (DN GS 00161 - Rev</w:t>
            </w:r>
            <w:r w:rsidRPr="003F2451">
              <w:t>i</w:t>
            </w:r>
            <w:r w:rsidRPr="003F2451">
              <w:t xml:space="preserve">sione 03 del 10-01-2020) </w:t>
            </w:r>
            <w:r w:rsidRPr="003F2451">
              <w:rPr>
                <w:b/>
                <w:bCs/>
                <w:iCs/>
                <w:color w:val="0F243E" w:themeColor="text2" w:themeShade="80"/>
              </w:rPr>
              <w:t>pag. 16</w:t>
            </w:r>
            <w:r w:rsidRPr="003F2451">
              <w:rPr>
                <w:iCs/>
                <w:color w:val="0F243E" w:themeColor="text2" w:themeShade="80"/>
              </w:rPr>
              <w:t xml:space="preserve">, si parla delle condizioni idrogeologiche del sito, affermando: “Considerata la natura litologica dei depositi affioranti </w:t>
            </w:r>
            <w:r w:rsidRPr="003F2451">
              <w:rPr>
                <w:b/>
                <w:iCs/>
                <w:color w:val="0F243E" w:themeColor="text2" w:themeShade="80"/>
              </w:rPr>
              <w:t>è possibile ipotizzare una modesta circolazione idrica sotterranea, con presenza di falde effimere di limitata potenza e continuità laterale che alimentano anche alcune sorgenti ubicate esternamente all’area in esame</w:t>
            </w:r>
            <w:r w:rsidR="006021BD" w:rsidRPr="003F2451">
              <w:rPr>
                <w:iCs/>
                <w:color w:val="0F243E" w:themeColor="text2" w:themeShade="80"/>
              </w:rPr>
              <w:t>”</w:t>
            </w:r>
            <w:r w:rsidRPr="003F2451">
              <w:rPr>
                <w:iCs/>
                <w:color w:val="0F243E" w:themeColor="text2" w:themeShade="80"/>
              </w:rPr>
              <w:t xml:space="preserve">. </w:t>
            </w:r>
            <w:r w:rsidR="006021BD" w:rsidRPr="003F2451">
              <w:rPr>
                <w:iCs/>
                <w:color w:val="0F243E" w:themeColor="text2" w:themeShade="80"/>
              </w:rPr>
              <w:t xml:space="preserve">A conferma di ciò, </w:t>
            </w:r>
            <w:r w:rsidR="006021BD" w:rsidRPr="003F2451">
              <w:rPr>
                <w:b/>
                <w:iCs/>
                <w:color w:val="0F243E" w:themeColor="text2" w:themeShade="80"/>
              </w:rPr>
              <w:t>i</w:t>
            </w:r>
            <w:r w:rsidRPr="003F2451">
              <w:rPr>
                <w:b/>
                <w:iCs/>
                <w:color w:val="0F243E" w:themeColor="text2" w:themeShade="80"/>
              </w:rPr>
              <w:t xml:space="preserve"> sopralluoghi effettuati (2014) hanno co</w:t>
            </w:r>
            <w:r w:rsidRPr="003F2451">
              <w:rPr>
                <w:b/>
                <w:iCs/>
                <w:color w:val="0F243E" w:themeColor="text2" w:themeShade="80"/>
              </w:rPr>
              <w:t>n</w:t>
            </w:r>
            <w:r w:rsidRPr="003F2451">
              <w:rPr>
                <w:b/>
                <w:iCs/>
                <w:color w:val="0F243E" w:themeColor="text2" w:themeShade="80"/>
              </w:rPr>
              <w:t>sentito di individuare la presenza di pozzi poco profondi il cui livello di falda è a circa 2 m dal p.c.</w:t>
            </w:r>
            <w:r w:rsidRPr="003F2451">
              <w:rPr>
                <w:iCs/>
                <w:color w:val="0F243E" w:themeColor="text2" w:themeShade="80"/>
              </w:rPr>
              <w:t xml:space="preserve">. </w:t>
            </w:r>
            <w:r w:rsidRPr="003F2451">
              <w:rPr>
                <w:b/>
                <w:iCs/>
                <w:color w:val="0F243E" w:themeColor="text2" w:themeShade="80"/>
              </w:rPr>
              <w:t>A pag. 31</w:t>
            </w:r>
            <w:r w:rsidRPr="003F2451">
              <w:rPr>
                <w:iCs/>
                <w:color w:val="0F243E" w:themeColor="text2" w:themeShade="80"/>
              </w:rPr>
              <w:t xml:space="preserve"> della stessa Relazione Tecnica</w:t>
            </w:r>
            <w:r w:rsidR="006021BD" w:rsidRPr="003F2451">
              <w:rPr>
                <w:iCs/>
                <w:color w:val="0F243E" w:themeColor="text2" w:themeShade="80"/>
              </w:rPr>
              <w:t>, d</w:t>
            </w:r>
            <w:r w:rsidR="006021BD" w:rsidRPr="003F2451">
              <w:rPr>
                <w:iCs/>
                <w:color w:val="0F243E" w:themeColor="text2" w:themeShade="80"/>
              </w:rPr>
              <w:t>o</w:t>
            </w:r>
            <w:r w:rsidR="006021BD" w:rsidRPr="003F2451">
              <w:rPr>
                <w:iCs/>
                <w:color w:val="0F243E" w:themeColor="text2" w:themeShade="80"/>
              </w:rPr>
              <w:t xml:space="preserve">ve vengono sintetizzate le rispondenze dei siti ai criteri di esclusione, </w:t>
            </w:r>
            <w:r w:rsidR="006021BD" w:rsidRPr="003F2451">
              <w:rPr>
                <w:b/>
                <w:iCs/>
                <w:color w:val="0F243E" w:themeColor="text2" w:themeShade="80"/>
              </w:rPr>
              <w:t>si a</w:t>
            </w:r>
            <w:r w:rsidR="006021BD" w:rsidRPr="003F2451">
              <w:rPr>
                <w:b/>
                <w:iCs/>
                <w:color w:val="0F243E" w:themeColor="text2" w:themeShade="80"/>
              </w:rPr>
              <w:t>f</w:t>
            </w:r>
            <w:r w:rsidR="006021BD" w:rsidRPr="003F2451">
              <w:rPr>
                <w:b/>
                <w:iCs/>
                <w:color w:val="0F243E" w:themeColor="text2" w:themeShade="80"/>
              </w:rPr>
              <w:t>ferma: Sulla base di dati bibliografici e rilievi speditivi, non si registra nell’area la presenza di falde di entità rilevante in prossimità del piano campagna”</w:t>
            </w:r>
            <w:r w:rsidR="006021BD" w:rsidRPr="003F2451">
              <w:rPr>
                <w:iCs/>
                <w:color w:val="0F243E" w:themeColor="text2" w:themeShade="80"/>
              </w:rPr>
              <w:t xml:space="preserve">. </w:t>
            </w:r>
            <w:r w:rsidR="006021BD" w:rsidRPr="003F2451">
              <w:rPr>
                <w:iCs/>
                <w:color w:val="FF0000"/>
              </w:rPr>
              <w:t xml:space="preserve">Osservazioni: </w:t>
            </w:r>
            <w:r w:rsidR="00EE7903" w:rsidRPr="003F2451">
              <w:rPr>
                <w:iCs/>
                <w:color w:val="FF0000"/>
              </w:rPr>
              <w:t xml:space="preserve">Le affermazioni fatte </w:t>
            </w:r>
            <w:r w:rsidR="00A9250A" w:rsidRPr="003F2451">
              <w:rPr>
                <w:iCs/>
                <w:color w:val="FF0000"/>
              </w:rPr>
              <w:t>nei</w:t>
            </w:r>
            <w:r w:rsidR="00EE7903" w:rsidRPr="003F2451">
              <w:rPr>
                <w:iCs/>
                <w:color w:val="FF0000"/>
              </w:rPr>
              <w:t xml:space="preserve"> diversi punti della rel</w:t>
            </w:r>
            <w:r w:rsidR="00EE7903" w:rsidRPr="003F2451">
              <w:rPr>
                <w:iCs/>
                <w:color w:val="FF0000"/>
              </w:rPr>
              <w:t>a</w:t>
            </w:r>
            <w:r w:rsidR="00EE7903" w:rsidRPr="003F2451">
              <w:rPr>
                <w:iCs/>
                <w:color w:val="FF0000"/>
              </w:rPr>
              <w:t xml:space="preserve">zione su questo criterio di esclusione sono contraddittorie e tuttavia, </w:t>
            </w:r>
            <w:r w:rsidR="00EE7903" w:rsidRPr="003F2451">
              <w:rPr>
                <w:b/>
                <w:iCs/>
                <w:color w:val="FF0000"/>
              </w:rPr>
              <w:t>l</w:t>
            </w:r>
            <w:r w:rsidR="00FC1917" w:rsidRPr="003F2451">
              <w:rPr>
                <w:b/>
                <w:color w:val="FF0000"/>
              </w:rPr>
              <w:t>a pr</w:t>
            </w:r>
            <w:r w:rsidR="00FC1917" w:rsidRPr="003F2451">
              <w:rPr>
                <w:b/>
                <w:color w:val="FF0000"/>
              </w:rPr>
              <w:t>o</w:t>
            </w:r>
            <w:r w:rsidR="00FC1917" w:rsidRPr="003F2451">
              <w:rPr>
                <w:b/>
                <w:color w:val="FF0000"/>
              </w:rPr>
              <w:t>fondità della falda idrica</w:t>
            </w:r>
            <w:r w:rsidR="00EE7903" w:rsidRPr="003F2451">
              <w:rPr>
                <w:b/>
                <w:color w:val="FF0000"/>
              </w:rPr>
              <w:t xml:space="preserve"> riscontrata nell’area</w:t>
            </w:r>
            <w:r w:rsidR="00FC1917" w:rsidRPr="003F2451">
              <w:rPr>
                <w:b/>
                <w:color w:val="FF0000"/>
              </w:rPr>
              <w:t>, anche se non affiorante, è di sicura interferenza con le fondazioni delle strutture in progetto e soddisferebbe, quindi, questo criterio di esclusione.</w:t>
            </w:r>
          </w:p>
          <w:p w:rsidR="00E67EDB" w:rsidRPr="003F2451" w:rsidRDefault="00E67EDB" w:rsidP="00EF762F">
            <w:pPr>
              <w:pStyle w:val="CAMPI"/>
              <w:jc w:val="both"/>
            </w:pPr>
          </w:p>
        </w:tc>
      </w:tr>
      <w:tr w:rsidR="00E67EDB" w:rsidRPr="00E40675" w:rsidTr="00EF762F">
        <w:trPr>
          <w:trHeight w:val="567"/>
        </w:trPr>
        <w:tc>
          <w:tcPr>
            <w:tcW w:w="2943" w:type="dxa"/>
            <w:vAlign w:val="center"/>
          </w:tcPr>
          <w:p w:rsidR="00E67EDB" w:rsidRPr="00E40675" w:rsidRDefault="00E67EDB" w:rsidP="00E40675">
            <w:pPr>
              <w:pStyle w:val="CAMPI"/>
              <w:jc w:val="both"/>
              <w:rPr>
                <w:color w:val="0F243E" w:themeColor="text2" w:themeShade="80"/>
              </w:rPr>
            </w:pPr>
            <w:r w:rsidRPr="00E40675">
              <w:rPr>
                <w:color w:val="0F243E" w:themeColor="text2" w:themeShade="80"/>
              </w:rPr>
              <w:t>CE11</w:t>
            </w:r>
            <w:r w:rsidR="00375B00" w:rsidRPr="00E40675">
              <w:rPr>
                <w:color w:val="0F243E" w:themeColor="text2" w:themeShade="80"/>
              </w:rPr>
              <w:t>*</w:t>
            </w:r>
            <w:r w:rsidRPr="00E40675">
              <w:rPr>
                <w:color w:val="0F243E" w:themeColor="text2" w:themeShade="80"/>
              </w:rPr>
              <w:t>. aree naturali protette identificate ai sensi della normat</w:t>
            </w:r>
            <w:r w:rsidRPr="00E40675">
              <w:rPr>
                <w:color w:val="0F243E" w:themeColor="text2" w:themeShade="80"/>
              </w:rPr>
              <w:t>i</w:t>
            </w:r>
            <w:r w:rsidRPr="00E40675">
              <w:rPr>
                <w:color w:val="0F243E" w:themeColor="text2" w:themeShade="80"/>
              </w:rPr>
              <w:t>va vigente</w:t>
            </w:r>
          </w:p>
        </w:tc>
        <w:tc>
          <w:tcPr>
            <w:tcW w:w="6266" w:type="dxa"/>
            <w:shd w:val="clear" w:color="auto" w:fill="FFFFFF"/>
            <w:vAlign w:val="center"/>
          </w:tcPr>
          <w:p w:rsidR="00E67EDB" w:rsidRPr="00E40675" w:rsidRDefault="00E67EDB" w:rsidP="00EF762F">
            <w:pPr>
              <w:pStyle w:val="CAMPI"/>
              <w:jc w:val="both"/>
              <w:rPr>
                <w:color w:val="0F243E" w:themeColor="text2" w:themeShade="80"/>
              </w:rPr>
            </w:pPr>
            <w:r w:rsidRPr="00E40675">
              <w:rPr>
                <w:color w:val="0F243E" w:themeColor="text2" w:themeShade="80"/>
              </w:rPr>
              <w:t>Lorem ipsum dolor sit amet, consectetur adipisci elit, sed do eiusmod te</w:t>
            </w:r>
            <w:r w:rsidRPr="00E40675">
              <w:rPr>
                <w:color w:val="0F243E" w:themeColor="text2" w:themeShade="80"/>
              </w:rPr>
              <w:t>m</w:t>
            </w:r>
            <w:r w:rsidRPr="00E40675">
              <w:rPr>
                <w:color w:val="0F243E" w:themeColor="text2" w:themeShade="80"/>
              </w:rPr>
              <w:t>por incidunt ut labore et dolore magna aliqua. Ut enim ad minim veniam, quis nostrum exercitationem ullamco laboriosam, nisi ut aliquid ex ea co</w:t>
            </w:r>
            <w:r w:rsidRPr="00E40675">
              <w:rPr>
                <w:color w:val="0F243E" w:themeColor="text2" w:themeShade="80"/>
              </w:rPr>
              <w:t>m</w:t>
            </w:r>
            <w:r w:rsidRPr="00E40675">
              <w:rPr>
                <w:color w:val="0F243E" w:themeColor="text2" w:themeShade="80"/>
              </w:rPr>
              <w:t>modi consequatur.</w:t>
            </w:r>
          </w:p>
        </w:tc>
      </w:tr>
      <w:tr w:rsidR="00E67EDB" w:rsidRPr="00E40675" w:rsidTr="00EF762F">
        <w:trPr>
          <w:trHeight w:val="567"/>
        </w:trPr>
        <w:tc>
          <w:tcPr>
            <w:tcW w:w="2943" w:type="dxa"/>
            <w:vAlign w:val="center"/>
          </w:tcPr>
          <w:p w:rsidR="00E67EDB" w:rsidRPr="00E40675" w:rsidRDefault="00E67EDB" w:rsidP="00E40675">
            <w:pPr>
              <w:pStyle w:val="CAMPI"/>
              <w:jc w:val="both"/>
              <w:rPr>
                <w:color w:val="0F243E" w:themeColor="text2" w:themeShade="80"/>
              </w:rPr>
            </w:pPr>
            <w:r w:rsidRPr="00E40675">
              <w:rPr>
                <w:color w:val="0F243E" w:themeColor="text2" w:themeShade="80"/>
              </w:rPr>
              <w:t>CE12</w:t>
            </w:r>
            <w:r w:rsidR="00375B00" w:rsidRPr="00E40675">
              <w:rPr>
                <w:color w:val="0F243E" w:themeColor="text2" w:themeShade="80"/>
              </w:rPr>
              <w:t>*</w:t>
            </w:r>
            <w:r w:rsidRPr="00E40675">
              <w:rPr>
                <w:color w:val="0F243E" w:themeColor="text2" w:themeShade="80"/>
              </w:rPr>
              <w:t>. aree che non siano ad adeguata distanza dai centri ab</w:t>
            </w:r>
            <w:r w:rsidRPr="00E40675">
              <w:rPr>
                <w:color w:val="0F243E" w:themeColor="text2" w:themeShade="80"/>
              </w:rPr>
              <w:t>i</w:t>
            </w:r>
            <w:r w:rsidRPr="00E40675">
              <w:rPr>
                <w:color w:val="0F243E" w:themeColor="text2" w:themeShade="80"/>
              </w:rPr>
              <w:t>tati</w:t>
            </w:r>
          </w:p>
        </w:tc>
        <w:tc>
          <w:tcPr>
            <w:tcW w:w="6266" w:type="dxa"/>
            <w:shd w:val="clear" w:color="auto" w:fill="FFFFFF"/>
            <w:vAlign w:val="center"/>
          </w:tcPr>
          <w:p w:rsidR="00E67EDB" w:rsidRPr="00E40675" w:rsidRDefault="00E67EDB" w:rsidP="00EF762F">
            <w:pPr>
              <w:pStyle w:val="CAMPI"/>
              <w:jc w:val="both"/>
              <w:rPr>
                <w:color w:val="0F243E" w:themeColor="text2" w:themeShade="80"/>
              </w:rPr>
            </w:pPr>
            <w:r w:rsidRPr="00E40675">
              <w:rPr>
                <w:color w:val="0F243E" w:themeColor="text2" w:themeShade="80"/>
              </w:rPr>
              <w:t>Lorem ipsum dolor sit amet, consectetur adipisci elit, sed do eiusmod te</w:t>
            </w:r>
            <w:r w:rsidRPr="00E40675">
              <w:rPr>
                <w:color w:val="0F243E" w:themeColor="text2" w:themeShade="80"/>
              </w:rPr>
              <w:t>m</w:t>
            </w:r>
            <w:r w:rsidRPr="00E40675">
              <w:rPr>
                <w:color w:val="0F243E" w:themeColor="text2" w:themeShade="80"/>
              </w:rPr>
              <w:t>por incidunt ut labore et dolore magna aliqua. Ut enim ad minim veniam, quis nostrum exercitationem ullamco laboriosam, nisi ut aliquid ex ea co</w:t>
            </w:r>
            <w:r w:rsidRPr="00E40675">
              <w:rPr>
                <w:color w:val="0F243E" w:themeColor="text2" w:themeShade="80"/>
              </w:rPr>
              <w:t>m</w:t>
            </w:r>
            <w:r w:rsidRPr="00E40675">
              <w:rPr>
                <w:color w:val="0F243E" w:themeColor="text2" w:themeShade="80"/>
              </w:rPr>
              <w:t>modi consequatur.</w:t>
            </w:r>
          </w:p>
        </w:tc>
      </w:tr>
      <w:tr w:rsidR="00E67EDB" w:rsidRPr="00E40675" w:rsidTr="00EF762F">
        <w:trPr>
          <w:trHeight w:val="567"/>
        </w:trPr>
        <w:tc>
          <w:tcPr>
            <w:tcW w:w="2943" w:type="dxa"/>
            <w:vAlign w:val="center"/>
          </w:tcPr>
          <w:p w:rsidR="00E67EDB" w:rsidRPr="00E40675" w:rsidRDefault="00E67EDB" w:rsidP="00E40675">
            <w:pPr>
              <w:pStyle w:val="CAMPI"/>
              <w:jc w:val="both"/>
              <w:rPr>
                <w:color w:val="0F243E" w:themeColor="text2" w:themeShade="80"/>
              </w:rPr>
            </w:pPr>
            <w:r w:rsidRPr="00E40675">
              <w:rPr>
                <w:color w:val="0F243E" w:themeColor="text2" w:themeShade="80"/>
              </w:rPr>
              <w:t>CE13</w:t>
            </w:r>
            <w:r w:rsidR="00375B00" w:rsidRPr="00E40675">
              <w:rPr>
                <w:color w:val="0F243E" w:themeColor="text2" w:themeShade="80"/>
              </w:rPr>
              <w:t>*</w:t>
            </w:r>
            <w:r w:rsidRPr="00E40675">
              <w:rPr>
                <w:color w:val="0F243E" w:themeColor="text2" w:themeShade="80"/>
              </w:rPr>
              <w:t>. aree che siano a distanza inferiore a 1 km da autostrade e strade extraurbane principali e da linee ferroviarie fondamentali e complementari</w:t>
            </w:r>
          </w:p>
        </w:tc>
        <w:tc>
          <w:tcPr>
            <w:tcW w:w="6266" w:type="dxa"/>
            <w:shd w:val="clear" w:color="auto" w:fill="FFFFFF"/>
            <w:vAlign w:val="center"/>
          </w:tcPr>
          <w:p w:rsidR="00E67EDB" w:rsidRPr="00E40675" w:rsidRDefault="00E67EDB" w:rsidP="00EF762F">
            <w:pPr>
              <w:pStyle w:val="CAMPI"/>
              <w:jc w:val="both"/>
              <w:rPr>
                <w:color w:val="0F243E" w:themeColor="text2" w:themeShade="80"/>
              </w:rPr>
            </w:pPr>
            <w:r w:rsidRPr="00E40675">
              <w:rPr>
                <w:color w:val="0F243E" w:themeColor="text2" w:themeShade="80"/>
              </w:rPr>
              <w:t>Lorem ipsum dolor sit amet, consectetur adipisci elit, sed do eiusmod te</w:t>
            </w:r>
            <w:r w:rsidRPr="00E40675">
              <w:rPr>
                <w:color w:val="0F243E" w:themeColor="text2" w:themeShade="80"/>
              </w:rPr>
              <w:t>m</w:t>
            </w:r>
            <w:r w:rsidRPr="00E40675">
              <w:rPr>
                <w:color w:val="0F243E" w:themeColor="text2" w:themeShade="80"/>
              </w:rPr>
              <w:t>por incidunt ut labore et dolore magna aliqua. Ut enim ad minim veniam, quis nostrum exercitationem ullamco laboriosam, nisi ut aliquid ex ea co</w:t>
            </w:r>
            <w:r w:rsidRPr="00E40675">
              <w:rPr>
                <w:color w:val="0F243E" w:themeColor="text2" w:themeShade="80"/>
              </w:rPr>
              <w:t>m</w:t>
            </w:r>
            <w:r w:rsidRPr="00E40675">
              <w:rPr>
                <w:color w:val="0F243E" w:themeColor="text2" w:themeShade="80"/>
              </w:rPr>
              <w:t>modi consequatur.</w:t>
            </w:r>
          </w:p>
        </w:tc>
      </w:tr>
      <w:tr w:rsidR="00E67EDB" w:rsidRPr="00E40675" w:rsidTr="00EF762F">
        <w:trPr>
          <w:trHeight w:val="567"/>
        </w:trPr>
        <w:tc>
          <w:tcPr>
            <w:tcW w:w="2943" w:type="dxa"/>
            <w:vAlign w:val="center"/>
          </w:tcPr>
          <w:p w:rsidR="00E67EDB" w:rsidRPr="00E40675" w:rsidRDefault="00E67EDB" w:rsidP="00E40675">
            <w:pPr>
              <w:pStyle w:val="CAMPI"/>
              <w:jc w:val="both"/>
              <w:rPr>
                <w:color w:val="0F243E" w:themeColor="text2" w:themeShade="80"/>
              </w:rPr>
            </w:pPr>
            <w:r w:rsidRPr="00E40675">
              <w:rPr>
                <w:color w:val="0F243E" w:themeColor="text2" w:themeShade="80"/>
              </w:rPr>
              <w:t>CE14</w:t>
            </w:r>
            <w:r w:rsidR="00375B00" w:rsidRPr="00E40675">
              <w:rPr>
                <w:color w:val="0F243E" w:themeColor="text2" w:themeShade="80"/>
              </w:rPr>
              <w:t>*</w:t>
            </w:r>
            <w:r w:rsidRPr="00E40675">
              <w:rPr>
                <w:color w:val="0F243E" w:themeColor="text2" w:themeShade="80"/>
              </w:rPr>
              <w:t>. aree caratterizzate dalla presenza nota di importanti riso</w:t>
            </w:r>
            <w:r w:rsidRPr="00E40675">
              <w:rPr>
                <w:color w:val="0F243E" w:themeColor="text2" w:themeShade="80"/>
              </w:rPr>
              <w:t>r</w:t>
            </w:r>
            <w:r w:rsidRPr="00E40675">
              <w:rPr>
                <w:color w:val="0F243E" w:themeColor="text2" w:themeShade="80"/>
              </w:rPr>
              <w:t>se del sottosuolo</w:t>
            </w:r>
          </w:p>
        </w:tc>
        <w:tc>
          <w:tcPr>
            <w:tcW w:w="6266" w:type="dxa"/>
            <w:shd w:val="clear" w:color="auto" w:fill="FFFFFF"/>
            <w:vAlign w:val="center"/>
          </w:tcPr>
          <w:p w:rsidR="00E67EDB" w:rsidRPr="00E40675" w:rsidRDefault="00E67EDB" w:rsidP="00EF762F">
            <w:pPr>
              <w:pStyle w:val="CAMPI"/>
              <w:jc w:val="both"/>
              <w:rPr>
                <w:color w:val="0F243E" w:themeColor="text2" w:themeShade="80"/>
              </w:rPr>
            </w:pPr>
            <w:r w:rsidRPr="00E40675">
              <w:rPr>
                <w:color w:val="0F243E" w:themeColor="text2" w:themeShade="80"/>
              </w:rPr>
              <w:t>Lorem ipsum dolor sit amet, consectetur adipisci elit, sed do eiusmod te</w:t>
            </w:r>
            <w:r w:rsidRPr="00E40675">
              <w:rPr>
                <w:color w:val="0F243E" w:themeColor="text2" w:themeShade="80"/>
              </w:rPr>
              <w:t>m</w:t>
            </w:r>
            <w:r w:rsidRPr="00E40675">
              <w:rPr>
                <w:color w:val="0F243E" w:themeColor="text2" w:themeShade="80"/>
              </w:rPr>
              <w:t>por incidunt ut labore et dolore magna aliqua. Ut enim ad minim veniam, quis nostrum exercitationem ullamco laboriosam, nisi ut aliquid ex ea co</w:t>
            </w:r>
            <w:r w:rsidRPr="00E40675">
              <w:rPr>
                <w:color w:val="0F243E" w:themeColor="text2" w:themeShade="80"/>
              </w:rPr>
              <w:t>m</w:t>
            </w:r>
            <w:r w:rsidRPr="00E40675">
              <w:rPr>
                <w:color w:val="0F243E" w:themeColor="text2" w:themeShade="80"/>
              </w:rPr>
              <w:t>modi consequatur.</w:t>
            </w:r>
          </w:p>
        </w:tc>
      </w:tr>
      <w:tr w:rsidR="00E67EDB" w:rsidRPr="00E40675" w:rsidTr="00EF762F">
        <w:trPr>
          <w:trHeight w:val="567"/>
        </w:trPr>
        <w:tc>
          <w:tcPr>
            <w:tcW w:w="2943" w:type="dxa"/>
            <w:vAlign w:val="center"/>
          </w:tcPr>
          <w:p w:rsidR="00E67EDB" w:rsidRPr="00E40675" w:rsidRDefault="00E67EDB" w:rsidP="00E40675">
            <w:pPr>
              <w:pStyle w:val="CAMPI"/>
              <w:jc w:val="both"/>
              <w:rPr>
                <w:color w:val="0F243E" w:themeColor="text2" w:themeShade="80"/>
              </w:rPr>
            </w:pPr>
            <w:r w:rsidRPr="00E40675">
              <w:rPr>
                <w:color w:val="0F243E" w:themeColor="text2" w:themeShade="80"/>
              </w:rPr>
              <w:lastRenderedPageBreak/>
              <w:t>CE15</w:t>
            </w:r>
            <w:r w:rsidR="00375B00" w:rsidRPr="00E40675">
              <w:rPr>
                <w:color w:val="0F243E" w:themeColor="text2" w:themeShade="80"/>
              </w:rPr>
              <w:t>*</w:t>
            </w:r>
            <w:r w:rsidRPr="00E40675">
              <w:rPr>
                <w:color w:val="0F243E" w:themeColor="text2" w:themeShade="80"/>
              </w:rPr>
              <w:t>. aree caratterizzate dalla presenza di attività industriali a rischio di incidente rilevante8, d</w:t>
            </w:r>
            <w:r w:rsidRPr="00E40675">
              <w:rPr>
                <w:color w:val="0F243E" w:themeColor="text2" w:themeShade="80"/>
              </w:rPr>
              <w:t>i</w:t>
            </w:r>
            <w:r w:rsidRPr="00E40675">
              <w:rPr>
                <w:color w:val="0F243E" w:themeColor="text2" w:themeShade="80"/>
              </w:rPr>
              <w:t>ghe e sbarramenti idraulici artif</w:t>
            </w:r>
            <w:r w:rsidRPr="00E40675">
              <w:rPr>
                <w:color w:val="0F243E" w:themeColor="text2" w:themeShade="80"/>
              </w:rPr>
              <w:t>i</w:t>
            </w:r>
            <w:r w:rsidRPr="00E40675">
              <w:rPr>
                <w:color w:val="0F243E" w:themeColor="text2" w:themeShade="80"/>
              </w:rPr>
              <w:t>ciali, aeroporti o poligoni di tiro militari operativi</w:t>
            </w:r>
          </w:p>
        </w:tc>
        <w:tc>
          <w:tcPr>
            <w:tcW w:w="6266" w:type="dxa"/>
            <w:shd w:val="clear" w:color="auto" w:fill="FFFFFF"/>
            <w:vAlign w:val="center"/>
          </w:tcPr>
          <w:p w:rsidR="00E67EDB" w:rsidRPr="00E40675" w:rsidRDefault="00E67EDB" w:rsidP="00EF762F">
            <w:pPr>
              <w:pStyle w:val="CAMPI"/>
              <w:jc w:val="both"/>
              <w:rPr>
                <w:color w:val="0F243E" w:themeColor="text2" w:themeShade="80"/>
              </w:rPr>
            </w:pPr>
            <w:r w:rsidRPr="00E40675">
              <w:rPr>
                <w:color w:val="0F243E" w:themeColor="text2" w:themeShade="80"/>
              </w:rPr>
              <w:t>Lorem ipsum dolor sit amet, consectetur adipisci elit, sed do eiusmod te</w:t>
            </w:r>
            <w:r w:rsidRPr="00E40675">
              <w:rPr>
                <w:color w:val="0F243E" w:themeColor="text2" w:themeShade="80"/>
              </w:rPr>
              <w:t>m</w:t>
            </w:r>
            <w:r w:rsidRPr="00E40675">
              <w:rPr>
                <w:color w:val="0F243E" w:themeColor="text2" w:themeShade="80"/>
              </w:rPr>
              <w:t>por incidunt ut labore et dolore magna aliqua. Ut enim ad minim veniam, quis nostrum exercitationem ullamco laboriosam, nisi ut aliquid ex ea co</w:t>
            </w:r>
            <w:r w:rsidRPr="00E40675">
              <w:rPr>
                <w:color w:val="0F243E" w:themeColor="text2" w:themeShade="80"/>
              </w:rPr>
              <w:t>m</w:t>
            </w:r>
            <w:r w:rsidRPr="00E40675">
              <w:rPr>
                <w:color w:val="0F243E" w:themeColor="text2" w:themeShade="80"/>
              </w:rPr>
              <w:t>modi consequatur.</w:t>
            </w:r>
          </w:p>
        </w:tc>
      </w:tr>
    </w:tbl>
    <w:p w:rsidR="00D2026E" w:rsidRPr="00E40675" w:rsidRDefault="00D2026E" w:rsidP="00E40675">
      <w:pPr>
        <w:pStyle w:val="CAMPI"/>
        <w:jc w:val="both"/>
        <w:rPr>
          <w:color w:val="0F243E" w:themeColor="text2" w:themeShade="80"/>
        </w:rPr>
      </w:pPr>
    </w:p>
    <w:p w:rsidR="00D2026E" w:rsidRPr="00E40675" w:rsidRDefault="00D2026E" w:rsidP="00E40675">
      <w:pPr>
        <w:pStyle w:val="CAMPI"/>
        <w:jc w:val="both"/>
        <w:rPr>
          <w:color w:val="0F243E" w:themeColor="text2" w:themeShade="80"/>
        </w:rPr>
      </w:pPr>
    </w:p>
    <w:p w:rsidR="00375B00" w:rsidRPr="00E40675" w:rsidRDefault="00375B00" w:rsidP="00E40675">
      <w:pPr>
        <w:pStyle w:val="CAMPI"/>
        <w:jc w:val="both"/>
        <w:rPr>
          <w:color w:val="0F243E" w:themeColor="text2" w:themeShade="80"/>
        </w:rPr>
      </w:pPr>
      <w:r w:rsidRPr="00E40675">
        <w:rPr>
          <w:color w:val="0F243E" w:themeColor="text2" w:themeShade="80"/>
        </w:rPr>
        <w:t>* CONTRIBUTI PROVENIENTI DA ALTRI TAVOLI, CHE SARANNO INTEGRATI IN FASE DI ASSEMBLA</w:t>
      </w:r>
      <w:r w:rsidRPr="00E40675">
        <w:rPr>
          <w:color w:val="0F243E" w:themeColor="text2" w:themeShade="80"/>
        </w:rPr>
        <w:t>G</w:t>
      </w:r>
      <w:r w:rsidRPr="00E40675">
        <w:rPr>
          <w:color w:val="0F243E" w:themeColor="text2" w:themeShade="80"/>
        </w:rPr>
        <w:t>GIO FINALE</w:t>
      </w:r>
      <w:r w:rsidR="003131D2" w:rsidRPr="00E40675">
        <w:rPr>
          <w:color w:val="0F243E" w:themeColor="text2" w:themeShade="80"/>
        </w:rPr>
        <w:t>.</w:t>
      </w:r>
    </w:p>
    <w:p w:rsidR="00D2026E" w:rsidRDefault="00D2026E">
      <w:pPr>
        <w:tabs>
          <w:tab w:val="left" w:pos="4253"/>
          <w:tab w:val="left" w:pos="4962"/>
          <w:tab w:val="left" w:pos="5245"/>
        </w:tabs>
        <w:spacing w:line="276" w:lineRule="auto"/>
        <w:jc w:val="both"/>
        <w:rPr>
          <w:rFonts w:asciiTheme="majorHAnsi" w:hAnsiTheme="majorHAnsi"/>
          <w:sz w:val="20"/>
        </w:rPr>
      </w:pPr>
    </w:p>
    <w:p w:rsidR="00D2026E" w:rsidRDefault="00D2026E">
      <w:pPr>
        <w:tabs>
          <w:tab w:val="left" w:pos="4253"/>
          <w:tab w:val="left" w:pos="4962"/>
          <w:tab w:val="left" w:pos="5245"/>
        </w:tabs>
        <w:spacing w:line="276" w:lineRule="auto"/>
        <w:jc w:val="both"/>
        <w:rPr>
          <w:rFonts w:asciiTheme="majorHAnsi" w:hAnsiTheme="majorHAnsi"/>
          <w:sz w:val="20"/>
        </w:rPr>
      </w:pPr>
    </w:p>
    <w:p w:rsidR="00E67EDB" w:rsidRDefault="00E67EDB">
      <w:pPr>
        <w:rPr>
          <w:rFonts w:asciiTheme="majorHAnsi" w:hAnsiTheme="majorHAnsi"/>
          <w:sz w:val="20"/>
        </w:rPr>
      </w:pPr>
      <w:r>
        <w:rPr>
          <w:rFonts w:asciiTheme="majorHAnsi" w:hAnsiTheme="majorHAnsi"/>
          <w:sz w:val="20"/>
        </w:rPr>
        <w:br w:type="page"/>
      </w:r>
    </w:p>
    <w:p w:rsidR="00E67EDB" w:rsidRDefault="00E67EDB" w:rsidP="00E67EDB">
      <w:pPr>
        <w:tabs>
          <w:tab w:val="left" w:pos="4253"/>
          <w:tab w:val="left" w:pos="4962"/>
          <w:tab w:val="left" w:pos="5245"/>
        </w:tabs>
        <w:spacing w:line="276" w:lineRule="auto"/>
        <w:jc w:val="both"/>
        <w:rPr>
          <w:rFonts w:asciiTheme="majorHAnsi" w:eastAsia="Cambria" w:hAnsiTheme="majorHAnsi"/>
          <w:b/>
          <w:bCs/>
          <w:color w:val="0F243E" w:themeColor="text2" w:themeShade="80"/>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333399"/>
        <w:tblLayout w:type="fixed"/>
        <w:tblLook w:val="01E0" w:firstRow="1" w:lastRow="1" w:firstColumn="1" w:lastColumn="1" w:noHBand="0" w:noVBand="0"/>
      </w:tblPr>
      <w:tblGrid>
        <w:gridCol w:w="2943"/>
        <w:gridCol w:w="6266"/>
      </w:tblGrid>
      <w:tr w:rsidR="00E67EDB" w:rsidTr="00EF762F">
        <w:trPr>
          <w:trHeight w:val="567"/>
        </w:trPr>
        <w:tc>
          <w:tcPr>
            <w:tcW w:w="2943" w:type="dxa"/>
            <w:shd w:val="clear" w:color="auto" w:fill="333399"/>
            <w:vAlign w:val="center"/>
          </w:tcPr>
          <w:p w:rsidR="00E67EDB" w:rsidRDefault="00E67EDB" w:rsidP="00EF762F">
            <w:pPr>
              <w:pStyle w:val="LABELOBBLIGATORI"/>
              <w:jc w:val="center"/>
            </w:pPr>
            <w:r w:rsidRPr="00E67EDB">
              <w:t>CRITERI</w:t>
            </w:r>
            <w:r>
              <w:t>O</w:t>
            </w:r>
            <w:r w:rsidRPr="00E67EDB">
              <w:t xml:space="preserve"> DI</w:t>
            </w:r>
            <w:r>
              <w:t xml:space="preserve"> </w:t>
            </w:r>
          </w:p>
          <w:p w:rsidR="00E67EDB" w:rsidRDefault="00E67EDB" w:rsidP="00EF762F">
            <w:pPr>
              <w:pStyle w:val="LABELOBBLIGATORI"/>
              <w:jc w:val="center"/>
            </w:pPr>
            <w:r w:rsidRPr="00E67EDB">
              <w:t>APPROFONDIMENTO</w:t>
            </w:r>
          </w:p>
        </w:tc>
        <w:tc>
          <w:tcPr>
            <w:tcW w:w="6266" w:type="dxa"/>
            <w:shd w:val="clear" w:color="auto" w:fill="B8CCE4" w:themeFill="accent1" w:themeFillTint="66"/>
            <w:vAlign w:val="center"/>
          </w:tcPr>
          <w:p w:rsidR="00E67EDB" w:rsidRDefault="00E67EDB" w:rsidP="00EF762F">
            <w:pPr>
              <w:pStyle w:val="LABELOBBLIGATORI"/>
              <w:jc w:val="center"/>
            </w:pPr>
            <w:r w:rsidRPr="00C24F6B">
              <w:rPr>
                <w:color w:val="0F243E" w:themeColor="text2" w:themeShade="80"/>
              </w:rPr>
              <w:t>COMMENTI</w:t>
            </w:r>
          </w:p>
        </w:tc>
      </w:tr>
      <w:tr w:rsidR="00E67EDB" w:rsidTr="00EF762F">
        <w:trPr>
          <w:trHeight w:val="567"/>
        </w:trPr>
        <w:tc>
          <w:tcPr>
            <w:tcW w:w="2943" w:type="dxa"/>
            <w:vAlign w:val="center"/>
          </w:tcPr>
          <w:p w:rsidR="00E67EDB" w:rsidRDefault="00E67EDB" w:rsidP="00EF762F">
            <w:pPr>
              <w:pStyle w:val="LABELSEMPLICI"/>
            </w:pPr>
            <w:r w:rsidRPr="00E67EDB">
              <w:t>CA1. presenza di manifest</w:t>
            </w:r>
            <w:r w:rsidRPr="00E67EDB">
              <w:t>a</w:t>
            </w:r>
            <w:r w:rsidRPr="00E67EDB">
              <w:t>zioni vulcaniche secondarie</w:t>
            </w:r>
          </w:p>
        </w:tc>
        <w:tc>
          <w:tcPr>
            <w:tcW w:w="6266" w:type="dxa"/>
            <w:shd w:val="clear" w:color="auto" w:fill="FFFFFF"/>
            <w:vAlign w:val="center"/>
          </w:tcPr>
          <w:p w:rsidR="00E67EDB" w:rsidRDefault="00E67EDB" w:rsidP="00EF762F">
            <w:pPr>
              <w:pStyle w:val="CAMPI"/>
              <w:jc w:val="both"/>
            </w:pPr>
            <w:r w:rsidRPr="00375B00">
              <w:rPr>
                <w:color w:val="0F243E" w:themeColor="text2" w:themeShade="80"/>
              </w:rPr>
              <w:t>Lorem ipsum dolor sit amet, consectetur adipisci elit, sed do eiusmod te</w:t>
            </w:r>
            <w:r w:rsidRPr="00375B00">
              <w:rPr>
                <w:color w:val="0F243E" w:themeColor="text2" w:themeShade="80"/>
              </w:rPr>
              <w:t>m</w:t>
            </w:r>
            <w:r w:rsidRPr="00375B00">
              <w:rPr>
                <w:color w:val="0F243E" w:themeColor="text2" w:themeShade="80"/>
              </w:rPr>
              <w:t xml:space="preserve">por incidunt ut labore et dolore magna aliqua. </w:t>
            </w:r>
            <w:r w:rsidRPr="00C24F6B">
              <w:rPr>
                <w:color w:val="0F243E" w:themeColor="text2" w:themeShade="80"/>
              </w:rPr>
              <w:t>Ut enim ad minim veniam, quis nostrum exercitationem ullamco laboriosam, nisi ut aliquid ex ea co</w:t>
            </w:r>
            <w:r w:rsidRPr="00C24F6B">
              <w:rPr>
                <w:color w:val="0F243E" w:themeColor="text2" w:themeShade="80"/>
              </w:rPr>
              <w:t>m</w:t>
            </w:r>
            <w:r w:rsidRPr="00C24F6B">
              <w:rPr>
                <w:color w:val="0F243E" w:themeColor="text2" w:themeShade="80"/>
              </w:rPr>
              <w:t>modi consequatur.</w:t>
            </w:r>
          </w:p>
        </w:tc>
      </w:tr>
      <w:tr w:rsidR="00E67EDB" w:rsidTr="00EF762F">
        <w:trPr>
          <w:trHeight w:val="567"/>
        </w:trPr>
        <w:tc>
          <w:tcPr>
            <w:tcW w:w="2943" w:type="dxa"/>
            <w:vAlign w:val="center"/>
          </w:tcPr>
          <w:p w:rsidR="00641D32" w:rsidRPr="00383F72" w:rsidRDefault="003322D0" w:rsidP="00641D32">
            <w:pPr>
              <w:pStyle w:val="LABELSEMPLICI"/>
              <w:rPr>
                <w:rFonts w:ascii="Times New Roman" w:hAnsi="Times New Roman"/>
                <w:b/>
                <w:bCs/>
                <w:sz w:val="24"/>
              </w:rPr>
            </w:pPr>
            <w:r w:rsidRPr="00383F72">
              <w:rPr>
                <w:rFonts w:ascii="Times New Roman" w:hAnsi="Times New Roman"/>
                <w:b/>
                <w:bCs/>
                <w:sz w:val="24"/>
              </w:rPr>
              <w:t>C</w:t>
            </w:r>
            <w:r w:rsidR="00231496" w:rsidRPr="00383F72">
              <w:rPr>
                <w:rFonts w:ascii="Times New Roman" w:hAnsi="Times New Roman"/>
                <w:b/>
                <w:bCs/>
                <w:sz w:val="24"/>
              </w:rPr>
              <w:t>A2</w:t>
            </w:r>
            <w:r w:rsidRPr="00383F72">
              <w:rPr>
                <w:rFonts w:ascii="Times New Roman" w:hAnsi="Times New Roman"/>
                <w:b/>
                <w:bCs/>
                <w:sz w:val="24"/>
              </w:rPr>
              <w:t xml:space="preserve">. </w:t>
            </w:r>
            <w:r w:rsidR="00641D32" w:rsidRPr="00383F72">
              <w:rPr>
                <w:rFonts w:ascii="Times New Roman" w:hAnsi="Times New Roman"/>
                <w:b/>
                <w:bCs/>
                <w:sz w:val="24"/>
              </w:rPr>
              <w:t>presenza di mov</w:t>
            </w:r>
            <w:r w:rsidR="00641D32" w:rsidRPr="00383F72">
              <w:rPr>
                <w:rFonts w:ascii="Times New Roman" w:hAnsi="Times New Roman"/>
                <w:b/>
                <w:bCs/>
                <w:sz w:val="24"/>
              </w:rPr>
              <w:t>i</w:t>
            </w:r>
            <w:r w:rsidR="00641D32" w:rsidRPr="00383F72">
              <w:rPr>
                <w:rFonts w:ascii="Times New Roman" w:hAnsi="Times New Roman"/>
                <w:b/>
                <w:bCs/>
                <w:sz w:val="24"/>
              </w:rPr>
              <w:t>menti verticali significat</w:t>
            </w:r>
            <w:r w:rsidR="00641D32" w:rsidRPr="00383F72">
              <w:rPr>
                <w:rFonts w:ascii="Times New Roman" w:hAnsi="Times New Roman"/>
                <w:b/>
                <w:bCs/>
                <w:sz w:val="24"/>
              </w:rPr>
              <w:t>i</w:t>
            </w:r>
            <w:r w:rsidR="00641D32" w:rsidRPr="00383F72">
              <w:rPr>
                <w:rFonts w:ascii="Times New Roman" w:hAnsi="Times New Roman"/>
                <w:b/>
                <w:bCs/>
                <w:sz w:val="24"/>
              </w:rPr>
              <w:t>vi del suolo in consegue</w:t>
            </w:r>
            <w:r w:rsidR="00641D32" w:rsidRPr="00383F72">
              <w:rPr>
                <w:rFonts w:ascii="Times New Roman" w:hAnsi="Times New Roman"/>
                <w:b/>
                <w:bCs/>
                <w:sz w:val="24"/>
              </w:rPr>
              <w:t>n</w:t>
            </w:r>
            <w:r w:rsidR="00641D32" w:rsidRPr="00383F72">
              <w:rPr>
                <w:rFonts w:ascii="Times New Roman" w:hAnsi="Times New Roman"/>
                <w:b/>
                <w:bCs/>
                <w:sz w:val="24"/>
              </w:rPr>
              <w:t>za di</w:t>
            </w:r>
          </w:p>
          <w:p w:rsidR="00641D32" w:rsidRPr="00383F72" w:rsidRDefault="00641D32" w:rsidP="00641D32">
            <w:pPr>
              <w:pStyle w:val="LABELSEMPLICI"/>
              <w:rPr>
                <w:rFonts w:ascii="Times New Roman" w:hAnsi="Times New Roman"/>
                <w:b/>
                <w:bCs/>
                <w:sz w:val="24"/>
              </w:rPr>
            </w:pPr>
            <w:r w:rsidRPr="00383F72">
              <w:rPr>
                <w:rFonts w:ascii="Times New Roman" w:hAnsi="Times New Roman"/>
                <w:b/>
                <w:bCs/>
                <w:sz w:val="24"/>
              </w:rPr>
              <w:t>fenomeni di subsidenza e di sollevamento (tettonico e/o isostatico)</w:t>
            </w:r>
            <w:r w:rsidR="00231496" w:rsidRPr="00383F72">
              <w:rPr>
                <w:rFonts w:ascii="Times New Roman" w:hAnsi="Times New Roman"/>
                <w:b/>
                <w:bCs/>
                <w:sz w:val="24"/>
              </w:rPr>
              <w:t xml:space="preserve"> (Guida Te</w:t>
            </w:r>
            <w:r w:rsidR="00231496" w:rsidRPr="00383F72">
              <w:rPr>
                <w:rFonts w:ascii="Times New Roman" w:hAnsi="Times New Roman"/>
                <w:b/>
                <w:bCs/>
                <w:sz w:val="24"/>
              </w:rPr>
              <w:t>c</w:t>
            </w:r>
            <w:r w:rsidR="00231496" w:rsidRPr="00383F72">
              <w:rPr>
                <w:rFonts w:ascii="Times New Roman" w:hAnsi="Times New Roman"/>
                <w:b/>
                <w:bCs/>
                <w:sz w:val="24"/>
              </w:rPr>
              <w:t>nica ISPRA n. 29 2014)</w:t>
            </w:r>
          </w:p>
          <w:p w:rsidR="00641D32" w:rsidRDefault="00641D32" w:rsidP="00231496">
            <w:pPr>
              <w:pStyle w:val="LABELSEMPLICI"/>
            </w:pPr>
            <w:r w:rsidRPr="00383F72">
              <w:rPr>
                <w:rFonts w:ascii="Times New Roman" w:hAnsi="Times New Roman"/>
                <w:i/>
                <w:iCs/>
                <w:sz w:val="24"/>
              </w:rPr>
              <w:t>“Questi fenomeni sono l</w:t>
            </w:r>
            <w:r w:rsidRPr="00383F72">
              <w:rPr>
                <w:rFonts w:ascii="Times New Roman" w:hAnsi="Times New Roman"/>
                <w:i/>
                <w:iCs/>
                <w:sz w:val="24"/>
              </w:rPr>
              <w:t>e</w:t>
            </w:r>
            <w:r w:rsidRPr="00383F72">
              <w:rPr>
                <w:rFonts w:ascii="Times New Roman" w:hAnsi="Times New Roman"/>
                <w:i/>
                <w:iCs/>
                <w:sz w:val="24"/>
              </w:rPr>
              <w:t>gati a cause naturali di tipo geologico e/o di natura</w:t>
            </w:r>
            <w:r w:rsidR="00231496" w:rsidRPr="00383F72">
              <w:rPr>
                <w:rFonts w:ascii="Times New Roman" w:hAnsi="Times New Roman"/>
                <w:i/>
                <w:iCs/>
                <w:sz w:val="24"/>
              </w:rPr>
              <w:t xml:space="preserve"> </w:t>
            </w:r>
            <w:r w:rsidRPr="00383F72">
              <w:rPr>
                <w:rFonts w:ascii="Times New Roman" w:hAnsi="Times New Roman"/>
                <w:i/>
                <w:iCs/>
                <w:sz w:val="24"/>
              </w:rPr>
              <w:t>a</w:t>
            </w:r>
            <w:r w:rsidRPr="00383F72">
              <w:rPr>
                <w:rFonts w:ascii="Times New Roman" w:hAnsi="Times New Roman"/>
                <w:i/>
                <w:iCs/>
                <w:sz w:val="24"/>
              </w:rPr>
              <w:t>n</w:t>
            </w:r>
            <w:r w:rsidRPr="00383F72">
              <w:rPr>
                <w:rFonts w:ascii="Times New Roman" w:hAnsi="Times New Roman"/>
                <w:i/>
                <w:iCs/>
                <w:sz w:val="24"/>
              </w:rPr>
              <w:t>tropica”.</w:t>
            </w:r>
          </w:p>
        </w:tc>
        <w:tc>
          <w:tcPr>
            <w:tcW w:w="6266" w:type="dxa"/>
            <w:shd w:val="clear" w:color="auto" w:fill="FFFFFF"/>
            <w:vAlign w:val="center"/>
          </w:tcPr>
          <w:p w:rsidR="002C1FEF" w:rsidRPr="003F2451" w:rsidRDefault="00042108" w:rsidP="002C6EE2">
            <w:pPr>
              <w:pStyle w:val="CAMPI"/>
              <w:jc w:val="both"/>
              <w:rPr>
                <w:rFonts w:cs="Arial"/>
                <w:bCs/>
                <w:color w:val="FF0000"/>
                <w:szCs w:val="24"/>
              </w:rPr>
            </w:pPr>
            <w:r w:rsidRPr="003F2451">
              <w:rPr>
                <w:b/>
              </w:rPr>
              <w:t>La Relazione Tecnica SOGIN sull’area BA_MT-4</w:t>
            </w:r>
            <w:r w:rsidRPr="003F2451">
              <w:t xml:space="preserve"> (DN GS 00161 - Rev</w:t>
            </w:r>
            <w:r w:rsidRPr="003F2451">
              <w:t>i</w:t>
            </w:r>
            <w:r w:rsidRPr="003F2451">
              <w:t xml:space="preserve">sione 03 del 10-01-2020), riguardo il seguente criterio di esclusione attesta che </w:t>
            </w:r>
            <w:r w:rsidR="008D396F" w:rsidRPr="003F2451">
              <w:rPr>
                <w:rFonts w:cs="Arial"/>
                <w:b/>
                <w:bCs/>
                <w:szCs w:val="24"/>
              </w:rPr>
              <w:t xml:space="preserve">le </w:t>
            </w:r>
            <w:r w:rsidRPr="003F2451">
              <w:rPr>
                <w:rFonts w:cs="Arial"/>
                <w:b/>
                <w:bCs/>
                <w:szCs w:val="24"/>
              </w:rPr>
              <w:t>valutazioni riguardo questo criterio di approfondimento</w:t>
            </w:r>
            <w:r w:rsidR="008D396F" w:rsidRPr="003F2451">
              <w:rPr>
                <w:rFonts w:cs="Arial"/>
                <w:b/>
                <w:bCs/>
                <w:szCs w:val="24"/>
              </w:rPr>
              <w:t xml:space="preserve"> sono state condotte sulla base di dati bibliografici e osservazioni sperime</w:t>
            </w:r>
            <w:r w:rsidR="008D396F" w:rsidRPr="003F2451">
              <w:rPr>
                <w:rFonts w:cs="Arial"/>
                <w:b/>
                <w:bCs/>
                <w:szCs w:val="24"/>
              </w:rPr>
              <w:t>n</w:t>
            </w:r>
            <w:r w:rsidR="008D396F" w:rsidRPr="003F2451">
              <w:rPr>
                <w:rFonts w:cs="Arial"/>
                <w:b/>
                <w:bCs/>
                <w:szCs w:val="24"/>
              </w:rPr>
              <w:t>tali sul campo, limitate al secondo semestre 2014</w:t>
            </w:r>
            <w:r w:rsidR="008D396F" w:rsidRPr="003F2451">
              <w:rPr>
                <w:rFonts w:cs="Arial"/>
                <w:bCs/>
                <w:szCs w:val="24"/>
              </w:rPr>
              <w:t xml:space="preserve">. Per queste ultime SOGIN </w:t>
            </w:r>
            <w:r w:rsidRPr="003F2451">
              <w:rPr>
                <w:rFonts w:cs="Arial"/>
                <w:bCs/>
                <w:szCs w:val="24"/>
              </w:rPr>
              <w:t>si è</w:t>
            </w:r>
            <w:r w:rsidR="008D396F" w:rsidRPr="003F2451">
              <w:rPr>
                <w:rFonts w:cs="Arial"/>
                <w:bCs/>
                <w:szCs w:val="24"/>
              </w:rPr>
              <w:t xml:space="preserve"> servita della collaborazione del DICATECh (Politecnico di Bari). Sulla base di quanto riportato nella relazione tecnica in parola e nella relat</w:t>
            </w:r>
            <w:r w:rsidR="008D396F" w:rsidRPr="003F2451">
              <w:rPr>
                <w:rFonts w:cs="Arial"/>
                <w:bCs/>
                <w:szCs w:val="24"/>
              </w:rPr>
              <w:t>i</w:t>
            </w:r>
            <w:r w:rsidR="008D396F" w:rsidRPr="003F2451">
              <w:rPr>
                <w:rFonts w:cs="Arial"/>
                <w:bCs/>
                <w:szCs w:val="24"/>
              </w:rPr>
              <w:t>va bibliografia (Elaborato Sogin, 2014 - DN GS 00101 DICATECh, Polite</w:t>
            </w:r>
            <w:r w:rsidR="008D396F" w:rsidRPr="003F2451">
              <w:rPr>
                <w:rFonts w:cs="Arial"/>
                <w:bCs/>
                <w:szCs w:val="24"/>
              </w:rPr>
              <w:t>c</w:t>
            </w:r>
            <w:r w:rsidR="008D396F" w:rsidRPr="003F2451">
              <w:rPr>
                <w:rFonts w:cs="Arial"/>
                <w:bCs/>
                <w:szCs w:val="24"/>
              </w:rPr>
              <w:t>nico di Bari)</w:t>
            </w:r>
            <w:r w:rsidRPr="003F2451">
              <w:rPr>
                <w:rFonts w:cs="Arial"/>
                <w:bCs/>
                <w:szCs w:val="24"/>
              </w:rPr>
              <w:t xml:space="preserve">. </w:t>
            </w:r>
            <w:r w:rsidRPr="003F2451">
              <w:rPr>
                <w:rFonts w:cs="Arial"/>
                <w:b/>
                <w:bCs/>
                <w:szCs w:val="24"/>
              </w:rPr>
              <w:t>Nella relazione SOGIN</w:t>
            </w:r>
            <w:r w:rsidR="007D1529" w:rsidRPr="003F2451">
              <w:rPr>
                <w:rFonts w:cs="Arial"/>
                <w:b/>
                <w:bCs/>
                <w:szCs w:val="24"/>
              </w:rPr>
              <w:t xml:space="preserve"> sull’area si conclude che “</w:t>
            </w:r>
            <w:r w:rsidRPr="003F2451">
              <w:rPr>
                <w:rFonts w:cs="Arial"/>
                <w:b/>
                <w:bCs/>
              </w:rPr>
              <w:t>Dall’analisi bibliografica e interpretazione dei dati radar interferom</w:t>
            </w:r>
            <w:r w:rsidRPr="003F2451">
              <w:rPr>
                <w:rFonts w:cs="Arial"/>
                <w:b/>
                <w:bCs/>
              </w:rPr>
              <w:t>e</w:t>
            </w:r>
            <w:r w:rsidRPr="003F2451">
              <w:rPr>
                <w:rFonts w:cs="Arial"/>
                <w:b/>
                <w:bCs/>
              </w:rPr>
              <w:t xml:space="preserve">trici, basati su tecnica PS, nonché da rilievi speditivi sul campo, l’area non risulta interessata da </w:t>
            </w:r>
            <w:r w:rsidRPr="003F2451">
              <w:rPr>
                <w:rFonts w:cs="Arial"/>
                <w:b/>
                <w:bCs/>
                <w:szCs w:val="24"/>
              </w:rPr>
              <w:t>movimenti verticali significativi</w:t>
            </w:r>
            <w:r w:rsidR="007D1529" w:rsidRPr="003F2451">
              <w:rPr>
                <w:rFonts w:cs="Arial"/>
                <w:b/>
                <w:bCs/>
                <w:szCs w:val="24"/>
              </w:rPr>
              <w:t>”</w:t>
            </w:r>
            <w:r w:rsidRPr="003F2451">
              <w:rPr>
                <w:rFonts w:cs="Arial"/>
                <w:bCs/>
                <w:szCs w:val="24"/>
              </w:rPr>
              <w:t>.</w:t>
            </w:r>
            <w:r w:rsidR="008D396F" w:rsidRPr="003F2451">
              <w:rPr>
                <w:rFonts w:cs="Arial"/>
                <w:bCs/>
                <w:szCs w:val="24"/>
              </w:rPr>
              <w:t xml:space="preserve"> </w:t>
            </w:r>
            <w:r w:rsidR="008D396F" w:rsidRPr="003F2451">
              <w:rPr>
                <w:rFonts w:cs="Arial"/>
                <w:bCs/>
                <w:color w:val="FF0000"/>
                <w:szCs w:val="24"/>
              </w:rPr>
              <w:t>Osserv</w:t>
            </w:r>
            <w:r w:rsidR="008D396F" w:rsidRPr="003F2451">
              <w:rPr>
                <w:rFonts w:cs="Arial"/>
                <w:bCs/>
                <w:color w:val="FF0000"/>
                <w:szCs w:val="24"/>
              </w:rPr>
              <w:t>a</w:t>
            </w:r>
            <w:r w:rsidR="008D396F" w:rsidRPr="003F2451">
              <w:rPr>
                <w:rFonts w:cs="Arial"/>
                <w:bCs/>
                <w:color w:val="FF0000"/>
                <w:szCs w:val="24"/>
              </w:rPr>
              <w:t xml:space="preserve">zioni: </w:t>
            </w:r>
            <w:r w:rsidR="006D1F8D" w:rsidRPr="003F2451">
              <w:rPr>
                <w:rFonts w:cs="Arial"/>
                <w:bCs/>
                <w:color w:val="FF0000"/>
                <w:szCs w:val="24"/>
              </w:rPr>
              <w:t>Si premette che non è stato possibile reperire e consultare l’Elaborato Sogin, 2014 - DN GS 00101 DICATECh - Politecnico di Bari, fra quelli resi accessibili da SOGIN</w:t>
            </w:r>
            <w:r w:rsidR="00250BC7" w:rsidRPr="003F2451">
              <w:rPr>
                <w:rFonts w:cs="Arial"/>
                <w:bCs/>
                <w:color w:val="FF0000"/>
                <w:szCs w:val="24"/>
              </w:rPr>
              <w:t xml:space="preserve">. </w:t>
            </w:r>
            <w:r w:rsidR="00563EE6" w:rsidRPr="003F2451">
              <w:rPr>
                <w:rFonts w:cs="Arial"/>
                <w:bCs/>
                <w:color w:val="FF0000"/>
                <w:szCs w:val="24"/>
              </w:rPr>
              <w:t>D</w:t>
            </w:r>
            <w:r w:rsidR="008D396F" w:rsidRPr="003F2451">
              <w:rPr>
                <w:rFonts w:cs="Arial"/>
                <w:bCs/>
                <w:color w:val="FF0000"/>
                <w:szCs w:val="24"/>
              </w:rPr>
              <w:t xml:space="preserve">alla bibliografia riportata nella Relazione Tecnica dell’area BA_MT-4 (DN GS 00161 - Revisione 03 del 10-01-2020) </w:t>
            </w:r>
            <w:r w:rsidR="008D396F" w:rsidRPr="003F2451">
              <w:rPr>
                <w:rFonts w:cs="Arial"/>
                <w:b/>
                <w:bCs/>
                <w:color w:val="FF0000"/>
                <w:szCs w:val="24"/>
              </w:rPr>
              <w:t>sembr</w:t>
            </w:r>
            <w:r w:rsidR="008D396F" w:rsidRPr="003F2451">
              <w:rPr>
                <w:rFonts w:cs="Arial"/>
                <w:b/>
                <w:bCs/>
                <w:color w:val="FF0000"/>
                <w:szCs w:val="24"/>
              </w:rPr>
              <w:t>e</w:t>
            </w:r>
            <w:r w:rsidR="008D396F" w:rsidRPr="003F2451">
              <w:rPr>
                <w:rFonts w:cs="Arial"/>
                <w:b/>
                <w:bCs/>
                <w:color w:val="FF0000"/>
                <w:szCs w:val="24"/>
              </w:rPr>
              <w:t>rebbe che la collaborazione del DICATECh si sia limitata alla sola val</w:t>
            </w:r>
            <w:r w:rsidR="008D396F" w:rsidRPr="003F2451">
              <w:rPr>
                <w:rFonts w:cs="Arial"/>
                <w:b/>
                <w:bCs/>
                <w:color w:val="FF0000"/>
                <w:szCs w:val="24"/>
              </w:rPr>
              <w:t>u</w:t>
            </w:r>
            <w:r w:rsidR="008D396F" w:rsidRPr="003F2451">
              <w:rPr>
                <w:rFonts w:cs="Arial"/>
                <w:b/>
                <w:bCs/>
                <w:color w:val="FF0000"/>
                <w:szCs w:val="24"/>
              </w:rPr>
              <w:t>tazione dell’entità degli spostamenti superficiali</w:t>
            </w:r>
            <w:r w:rsidR="008D396F" w:rsidRPr="003F2451">
              <w:rPr>
                <w:rFonts w:cs="Arial"/>
                <w:bCs/>
                <w:color w:val="FF0000"/>
                <w:szCs w:val="24"/>
              </w:rPr>
              <w:t xml:space="preserve">, applicando la tecnica interferometrica satellitare dei </w:t>
            </w:r>
            <w:r w:rsidR="008D396F" w:rsidRPr="003F2451">
              <w:rPr>
                <w:rFonts w:cs="Arial"/>
                <w:bCs/>
                <w:i/>
                <w:iCs/>
                <w:color w:val="FF0000"/>
                <w:szCs w:val="24"/>
              </w:rPr>
              <w:t xml:space="preserve">Permanent Scatterers </w:t>
            </w:r>
            <w:r w:rsidR="008D396F" w:rsidRPr="003F2451">
              <w:rPr>
                <w:rFonts w:cs="Arial"/>
                <w:bCs/>
                <w:color w:val="FF0000"/>
                <w:szCs w:val="24"/>
              </w:rPr>
              <w:t>(PS TECNICA PS I</w:t>
            </w:r>
            <w:r w:rsidR="008D396F" w:rsidRPr="003F2451">
              <w:rPr>
                <w:rFonts w:cs="Arial"/>
                <w:bCs/>
                <w:color w:val="FF0000"/>
                <w:szCs w:val="24"/>
              </w:rPr>
              <w:t>N</w:t>
            </w:r>
            <w:r w:rsidR="008D396F" w:rsidRPr="003F2451">
              <w:rPr>
                <w:rFonts w:cs="Arial"/>
                <w:bCs/>
                <w:color w:val="FF0000"/>
                <w:szCs w:val="24"/>
              </w:rPr>
              <w:t xml:space="preserve">SAR), </w:t>
            </w:r>
            <w:r w:rsidR="008D396F" w:rsidRPr="003F2451">
              <w:rPr>
                <w:rFonts w:cs="Arial"/>
                <w:b/>
                <w:bCs/>
                <w:color w:val="FF0000"/>
                <w:szCs w:val="24"/>
              </w:rPr>
              <w:t xml:space="preserve">e alla </w:t>
            </w:r>
            <w:r w:rsidR="00250BC7" w:rsidRPr="003F2451">
              <w:rPr>
                <w:rFonts w:cs="Arial"/>
                <w:b/>
                <w:bCs/>
                <w:color w:val="FF0000"/>
                <w:szCs w:val="24"/>
              </w:rPr>
              <w:t>c</w:t>
            </w:r>
            <w:r w:rsidR="008D396F" w:rsidRPr="003F2451">
              <w:rPr>
                <w:rFonts w:cs="Arial"/>
                <w:b/>
                <w:bCs/>
                <w:color w:val="FF0000"/>
                <w:szCs w:val="24"/>
              </w:rPr>
              <w:t>reazione di un database geografico per la gestione dell’archivio relativo agli spostamenti superficiali ottenuti da dati r</w:t>
            </w:r>
            <w:r w:rsidR="008D396F" w:rsidRPr="003F2451">
              <w:rPr>
                <w:rFonts w:cs="Arial"/>
                <w:b/>
                <w:bCs/>
                <w:color w:val="FF0000"/>
                <w:szCs w:val="24"/>
              </w:rPr>
              <w:t>a</w:t>
            </w:r>
            <w:r w:rsidR="008D396F" w:rsidRPr="003F2451">
              <w:rPr>
                <w:rFonts w:cs="Arial"/>
                <w:b/>
                <w:bCs/>
                <w:color w:val="FF0000"/>
                <w:szCs w:val="24"/>
              </w:rPr>
              <w:t xml:space="preserve">dar-satellitari mediante analisi dei </w:t>
            </w:r>
            <w:r w:rsidR="008D396F" w:rsidRPr="003F2451">
              <w:rPr>
                <w:rFonts w:cs="Arial"/>
                <w:b/>
                <w:bCs/>
                <w:i/>
                <w:iCs/>
                <w:color w:val="FF0000"/>
                <w:szCs w:val="24"/>
              </w:rPr>
              <w:t xml:space="preserve">Permanent Scatterers </w:t>
            </w:r>
            <w:r w:rsidR="008D396F" w:rsidRPr="003F2451">
              <w:rPr>
                <w:rFonts w:cs="Arial"/>
                <w:b/>
                <w:bCs/>
                <w:color w:val="FF0000"/>
                <w:szCs w:val="24"/>
              </w:rPr>
              <w:t>(PS) in rel</w:t>
            </w:r>
            <w:r w:rsidR="008D396F" w:rsidRPr="003F2451">
              <w:rPr>
                <w:rFonts w:cs="Arial"/>
                <w:b/>
                <w:bCs/>
                <w:color w:val="FF0000"/>
                <w:szCs w:val="24"/>
              </w:rPr>
              <w:t>a</w:t>
            </w:r>
            <w:r w:rsidR="008D396F" w:rsidRPr="003F2451">
              <w:rPr>
                <w:rFonts w:cs="Arial"/>
                <w:b/>
                <w:bCs/>
                <w:color w:val="FF0000"/>
                <w:szCs w:val="24"/>
              </w:rPr>
              <w:t>zione all’applicazione del crite</w:t>
            </w:r>
            <w:r w:rsidR="002741C1" w:rsidRPr="003F2451">
              <w:rPr>
                <w:rFonts w:cs="Arial"/>
                <w:b/>
                <w:bCs/>
                <w:color w:val="FF0000"/>
                <w:szCs w:val="24"/>
              </w:rPr>
              <w:t>rio ISPRA CA2.</w:t>
            </w:r>
            <w:r w:rsidR="009C6999" w:rsidRPr="003F2451">
              <w:rPr>
                <w:rFonts w:cs="Arial"/>
                <w:bCs/>
                <w:color w:val="FF0000"/>
                <w:szCs w:val="24"/>
              </w:rPr>
              <w:t xml:space="preserve"> </w:t>
            </w:r>
          </w:p>
          <w:p w:rsidR="002C6EE2" w:rsidRPr="003F2451" w:rsidRDefault="002C6EE2" w:rsidP="008E6F2E">
            <w:pPr>
              <w:pStyle w:val="CAMPI"/>
              <w:jc w:val="both"/>
              <w:rPr>
                <w:rFonts w:cs="Arial"/>
                <w:bCs/>
                <w:color w:val="FF0000"/>
                <w:szCs w:val="24"/>
              </w:rPr>
            </w:pPr>
            <w:r w:rsidRPr="003F2451">
              <w:rPr>
                <w:rFonts w:cs="Arial"/>
                <w:b/>
                <w:bCs/>
                <w:color w:val="FF0000"/>
                <w:szCs w:val="24"/>
              </w:rPr>
              <w:t>Le risultanze riportate a pag. 13 della Relazione Tecnica sull’area</w:t>
            </w:r>
            <w:r w:rsidR="008E6F2E" w:rsidRPr="003F2451">
              <w:rPr>
                <w:rFonts w:cs="Arial"/>
                <w:b/>
                <w:bCs/>
                <w:color w:val="FF0000"/>
                <w:szCs w:val="24"/>
              </w:rPr>
              <w:t xml:space="preserve"> (…</w:t>
            </w:r>
            <w:r w:rsidR="008E6F2E" w:rsidRPr="003F2451">
              <w:rPr>
                <w:rFonts w:cs="Arial"/>
                <w:b/>
                <w:bCs/>
                <w:color w:val="FF0000"/>
                <w:szCs w:val="24"/>
              </w:rPr>
              <w:t>Complessivamente l’analisi dei dati ottenuti dalla scomposizione dei dati ascendenti e</w:t>
            </w:r>
            <w:r w:rsidR="008E6F2E" w:rsidRPr="003F2451">
              <w:rPr>
                <w:rFonts w:cs="Arial"/>
                <w:b/>
                <w:bCs/>
                <w:color w:val="FF0000"/>
                <w:szCs w:val="24"/>
              </w:rPr>
              <w:t xml:space="preserve"> </w:t>
            </w:r>
            <w:r w:rsidR="008E6F2E" w:rsidRPr="003F2451">
              <w:rPr>
                <w:rFonts w:cs="Arial"/>
                <w:b/>
                <w:bCs/>
                <w:color w:val="FF0000"/>
                <w:szCs w:val="24"/>
              </w:rPr>
              <w:t>discendenti dei sensori ERS ed ENVISAT non evidenzia, in questo se</w:t>
            </w:r>
            <w:r w:rsidR="008E6F2E" w:rsidRPr="003F2451">
              <w:rPr>
                <w:rFonts w:cs="Arial"/>
                <w:b/>
                <w:bCs/>
                <w:color w:val="FF0000"/>
                <w:szCs w:val="24"/>
              </w:rPr>
              <w:t>t</w:t>
            </w:r>
            <w:r w:rsidR="008E6F2E" w:rsidRPr="003F2451">
              <w:rPr>
                <w:rFonts w:cs="Arial"/>
                <w:b/>
                <w:bCs/>
                <w:color w:val="FF0000"/>
                <w:szCs w:val="24"/>
              </w:rPr>
              <w:t>tore, apprezzabili</w:t>
            </w:r>
            <w:r w:rsidR="008E6F2E" w:rsidRPr="003F2451">
              <w:rPr>
                <w:rFonts w:cs="Arial"/>
                <w:b/>
                <w:bCs/>
                <w:color w:val="FF0000"/>
                <w:szCs w:val="24"/>
              </w:rPr>
              <w:t xml:space="preserve"> </w:t>
            </w:r>
            <w:r w:rsidR="008E6F2E" w:rsidRPr="003F2451">
              <w:rPr>
                <w:rFonts w:cs="Arial"/>
                <w:b/>
                <w:bCs/>
                <w:color w:val="FF0000"/>
                <w:szCs w:val="24"/>
              </w:rPr>
              <w:t>spostamenti verticali; inoltre, non si riscontrano movimenti orizzontali nella componente</w:t>
            </w:r>
            <w:r w:rsidR="008E6F2E" w:rsidRPr="003F2451">
              <w:rPr>
                <w:rFonts w:cs="Arial"/>
                <w:b/>
                <w:bCs/>
                <w:color w:val="FF0000"/>
                <w:szCs w:val="24"/>
              </w:rPr>
              <w:t xml:space="preserve"> </w:t>
            </w:r>
            <w:r w:rsidR="008E6F2E" w:rsidRPr="003F2451">
              <w:rPr>
                <w:rFonts w:cs="Arial"/>
                <w:b/>
                <w:bCs/>
                <w:color w:val="FF0000"/>
                <w:szCs w:val="24"/>
              </w:rPr>
              <w:t>est ovest (Elaborato Sogin DN GS 00101)</w:t>
            </w:r>
            <w:r w:rsidR="008E6F2E" w:rsidRPr="003F2451">
              <w:rPr>
                <w:rFonts w:cs="Arial"/>
                <w:b/>
                <w:bCs/>
                <w:color w:val="FF0000"/>
                <w:szCs w:val="24"/>
              </w:rPr>
              <w:t>.”</w:t>
            </w:r>
            <w:r w:rsidRPr="003F2451">
              <w:rPr>
                <w:rFonts w:cs="Arial"/>
                <w:bCs/>
                <w:color w:val="FF0000"/>
                <w:szCs w:val="24"/>
              </w:rPr>
              <w:t xml:space="preserve"> </w:t>
            </w:r>
            <w:r w:rsidRPr="003F2451">
              <w:rPr>
                <w:rFonts w:cs="Arial"/>
                <w:b/>
                <w:bCs/>
                <w:color w:val="FF0000"/>
                <w:szCs w:val="24"/>
              </w:rPr>
              <w:t>sono in contraddizione con le cons</w:t>
            </w:r>
            <w:r w:rsidRPr="003F2451">
              <w:rPr>
                <w:rFonts w:cs="Arial"/>
                <w:b/>
                <w:bCs/>
                <w:color w:val="FF0000"/>
                <w:szCs w:val="24"/>
              </w:rPr>
              <w:t>i</w:t>
            </w:r>
            <w:r w:rsidRPr="003F2451">
              <w:rPr>
                <w:rFonts w:cs="Arial"/>
                <w:b/>
                <w:bCs/>
                <w:color w:val="FF0000"/>
                <w:szCs w:val="24"/>
              </w:rPr>
              <w:t>derazioni conclusive riportate nella R</w:t>
            </w:r>
            <w:r w:rsidRPr="003F2451">
              <w:rPr>
                <w:rFonts w:cs="Arial"/>
                <w:b/>
                <w:bCs/>
                <w:color w:val="FF0000"/>
                <w:szCs w:val="24"/>
              </w:rPr>
              <w:t>e</w:t>
            </w:r>
            <w:r w:rsidRPr="003F2451">
              <w:rPr>
                <w:rFonts w:cs="Arial"/>
                <w:b/>
                <w:bCs/>
                <w:color w:val="FF0000"/>
                <w:szCs w:val="24"/>
              </w:rPr>
              <w:t>lazione Tecnica SOGIN DN GS 00102, Revisione 04 del 30-12-2020</w:t>
            </w:r>
            <w:r w:rsidRPr="003F2451">
              <w:rPr>
                <w:rFonts w:cs="Arial"/>
                <w:bCs/>
                <w:color w:val="FF0000"/>
                <w:szCs w:val="24"/>
              </w:rPr>
              <w:t xml:space="preserve"> “Basi teoriche e modalità di applic</w:t>
            </w:r>
            <w:r w:rsidRPr="003F2451">
              <w:rPr>
                <w:rFonts w:cs="Arial"/>
                <w:bCs/>
                <w:color w:val="FF0000"/>
                <w:szCs w:val="24"/>
              </w:rPr>
              <w:t>a</w:t>
            </w:r>
            <w:r w:rsidRPr="003F2451">
              <w:rPr>
                <w:rFonts w:cs="Arial"/>
                <w:bCs/>
                <w:color w:val="FF0000"/>
                <w:szCs w:val="24"/>
              </w:rPr>
              <w:t xml:space="preserve">zione dei criteri per la realizzazione della CNAPI”, </w:t>
            </w:r>
            <w:r w:rsidRPr="003F2451">
              <w:rPr>
                <w:rFonts w:cs="Arial"/>
                <w:b/>
                <w:bCs/>
                <w:color w:val="FF0000"/>
                <w:szCs w:val="24"/>
              </w:rPr>
              <w:t>che nulla dicono circa i movimenti orizzontali del suolo. Tali movimenti, documentati in lett</w:t>
            </w:r>
            <w:r w:rsidRPr="003F2451">
              <w:rPr>
                <w:rFonts w:cs="Arial"/>
                <w:b/>
                <w:bCs/>
                <w:color w:val="FF0000"/>
                <w:szCs w:val="24"/>
              </w:rPr>
              <w:t>e</w:t>
            </w:r>
            <w:r w:rsidRPr="003F2451">
              <w:rPr>
                <w:rFonts w:cs="Arial"/>
                <w:b/>
                <w:bCs/>
                <w:color w:val="FF0000"/>
                <w:szCs w:val="24"/>
              </w:rPr>
              <w:t>ratura, sono fortemente congruenti con il quadro geodinamico dell’area e i potenziali cinematismi delle faglie presenti nell’area in esame. Ne consegue che le conclusioni pag. 30 della Relazione Tecn</w:t>
            </w:r>
            <w:r w:rsidRPr="003F2451">
              <w:rPr>
                <w:rFonts w:cs="Arial"/>
                <w:b/>
                <w:bCs/>
                <w:color w:val="FF0000"/>
                <w:szCs w:val="24"/>
              </w:rPr>
              <w:t>i</w:t>
            </w:r>
            <w:r w:rsidRPr="003F2451">
              <w:rPr>
                <w:rFonts w:cs="Arial"/>
                <w:b/>
                <w:bCs/>
                <w:color w:val="FF0000"/>
                <w:szCs w:val="24"/>
              </w:rPr>
              <w:t>ca sull’area, circa il criterio CA2., sono incongruenti.</w:t>
            </w:r>
          </w:p>
        </w:tc>
      </w:tr>
      <w:tr w:rsidR="00E67EDB" w:rsidTr="00EF762F">
        <w:trPr>
          <w:trHeight w:val="567"/>
        </w:trPr>
        <w:tc>
          <w:tcPr>
            <w:tcW w:w="2943" w:type="dxa"/>
            <w:vAlign w:val="center"/>
          </w:tcPr>
          <w:p w:rsidR="00E67EDB" w:rsidRDefault="00E67EDB" w:rsidP="00EF762F">
            <w:pPr>
              <w:pStyle w:val="LABELSEMPLICI"/>
            </w:pPr>
            <w:r w:rsidRPr="00E67EDB">
              <w:lastRenderedPageBreak/>
              <w:t>CA3. assetto geologico-morfostrutturale e presenza di litotipi con eteropia verticale e laterale</w:t>
            </w:r>
          </w:p>
        </w:tc>
        <w:tc>
          <w:tcPr>
            <w:tcW w:w="6266" w:type="dxa"/>
            <w:shd w:val="clear" w:color="auto" w:fill="FFFFFF"/>
            <w:vAlign w:val="center"/>
          </w:tcPr>
          <w:p w:rsidR="00E67EDB" w:rsidRDefault="00E67EDB" w:rsidP="009814BB">
            <w:pPr>
              <w:pStyle w:val="CAMPI"/>
              <w:jc w:val="both"/>
            </w:pPr>
            <w:r w:rsidRPr="00375B00">
              <w:rPr>
                <w:color w:val="0F243E" w:themeColor="text2" w:themeShade="80"/>
              </w:rPr>
              <w:t>Lorem ipsum dolor sit amet, consectetur adipisci elit, sed do eiusmod te</w:t>
            </w:r>
            <w:r w:rsidRPr="00375B00">
              <w:rPr>
                <w:color w:val="0F243E" w:themeColor="text2" w:themeShade="80"/>
              </w:rPr>
              <w:t>m</w:t>
            </w:r>
            <w:r w:rsidRPr="00375B00">
              <w:rPr>
                <w:color w:val="0F243E" w:themeColor="text2" w:themeShade="80"/>
              </w:rPr>
              <w:t xml:space="preserve">por incidunt ut labore et dolore magna aliqua. </w:t>
            </w:r>
            <w:r w:rsidRPr="00C24F6B">
              <w:rPr>
                <w:color w:val="0F243E" w:themeColor="text2" w:themeShade="80"/>
              </w:rPr>
              <w:t>Ut enim ad minim veniam, quis nostrum exercitationem ullamco laboriosam, nisi ut aliquid ex ea co</w:t>
            </w:r>
            <w:r w:rsidRPr="00C24F6B">
              <w:rPr>
                <w:color w:val="0F243E" w:themeColor="text2" w:themeShade="80"/>
              </w:rPr>
              <w:t>m</w:t>
            </w:r>
            <w:r w:rsidRPr="00C24F6B">
              <w:rPr>
                <w:color w:val="0F243E" w:themeColor="text2" w:themeShade="80"/>
              </w:rPr>
              <w:t>modi consequatur.</w:t>
            </w:r>
          </w:p>
        </w:tc>
      </w:tr>
      <w:tr w:rsidR="00E639BF" w:rsidTr="00EF762F">
        <w:trPr>
          <w:trHeight w:val="567"/>
        </w:trPr>
        <w:tc>
          <w:tcPr>
            <w:tcW w:w="2943" w:type="dxa"/>
            <w:vAlign w:val="center"/>
          </w:tcPr>
          <w:p w:rsidR="00E639BF" w:rsidRDefault="00E639BF" w:rsidP="00EF762F">
            <w:pPr>
              <w:pStyle w:val="LABELSEMPLICI"/>
            </w:pPr>
            <w:r w:rsidRPr="00E639BF">
              <w:t>CA4. presenza di bacini imbr</w:t>
            </w:r>
            <w:r w:rsidRPr="00E639BF">
              <w:t>i</w:t>
            </w:r>
            <w:r w:rsidRPr="00E639BF">
              <w:t>feri di tipo endoreico</w:t>
            </w:r>
          </w:p>
        </w:tc>
        <w:tc>
          <w:tcPr>
            <w:tcW w:w="6266" w:type="dxa"/>
            <w:shd w:val="clear" w:color="auto" w:fill="FFFFFF"/>
            <w:vAlign w:val="center"/>
          </w:tcPr>
          <w:p w:rsidR="00E639BF" w:rsidRDefault="00E639BF" w:rsidP="00EF762F">
            <w:pPr>
              <w:pStyle w:val="CAMPI"/>
              <w:jc w:val="both"/>
            </w:pPr>
            <w:r w:rsidRPr="00375B00">
              <w:rPr>
                <w:color w:val="0F243E" w:themeColor="text2" w:themeShade="80"/>
              </w:rPr>
              <w:t>Lorem ipsum dolor sit amet, consectetur adipisci elit, sed do eiusmod te</w:t>
            </w:r>
            <w:r w:rsidRPr="00375B00">
              <w:rPr>
                <w:color w:val="0F243E" w:themeColor="text2" w:themeShade="80"/>
              </w:rPr>
              <w:t>m</w:t>
            </w:r>
            <w:r w:rsidRPr="00375B00">
              <w:rPr>
                <w:color w:val="0F243E" w:themeColor="text2" w:themeShade="80"/>
              </w:rPr>
              <w:t xml:space="preserve">por incidunt ut labore et dolore magna aliqua. </w:t>
            </w:r>
            <w:r w:rsidRPr="00C24F6B">
              <w:rPr>
                <w:color w:val="0F243E" w:themeColor="text2" w:themeShade="80"/>
              </w:rPr>
              <w:t>Ut enim ad minim veniam, quis nostrum exercitationem ullamco laboriosam, nisi ut aliquid ex ea co</w:t>
            </w:r>
            <w:r w:rsidRPr="00C24F6B">
              <w:rPr>
                <w:color w:val="0F243E" w:themeColor="text2" w:themeShade="80"/>
              </w:rPr>
              <w:t>m</w:t>
            </w:r>
            <w:r w:rsidRPr="00C24F6B">
              <w:rPr>
                <w:color w:val="0F243E" w:themeColor="text2" w:themeShade="80"/>
              </w:rPr>
              <w:t>modi consequatur.</w:t>
            </w:r>
          </w:p>
        </w:tc>
      </w:tr>
      <w:tr w:rsidR="00E639BF" w:rsidTr="00EF762F">
        <w:trPr>
          <w:trHeight w:val="567"/>
        </w:trPr>
        <w:tc>
          <w:tcPr>
            <w:tcW w:w="2943" w:type="dxa"/>
            <w:vAlign w:val="center"/>
          </w:tcPr>
          <w:p w:rsidR="00E639BF" w:rsidRDefault="00E639BF" w:rsidP="00EF762F">
            <w:pPr>
              <w:pStyle w:val="LABELSEMPLICI"/>
            </w:pPr>
            <w:r w:rsidRPr="00E67EDB">
              <w:t>CA5. presenza di fenomeni di erosione accelerata</w:t>
            </w:r>
          </w:p>
        </w:tc>
        <w:tc>
          <w:tcPr>
            <w:tcW w:w="6266" w:type="dxa"/>
            <w:shd w:val="clear" w:color="auto" w:fill="FFFFFF"/>
            <w:vAlign w:val="center"/>
          </w:tcPr>
          <w:p w:rsidR="00E639BF" w:rsidRDefault="00E639BF" w:rsidP="00EF762F">
            <w:pPr>
              <w:pStyle w:val="CAMPI"/>
              <w:jc w:val="both"/>
            </w:pPr>
            <w:r w:rsidRPr="00375B00">
              <w:rPr>
                <w:color w:val="0F243E" w:themeColor="text2" w:themeShade="80"/>
              </w:rPr>
              <w:t>Lorem ipsum dolor sit amet, consectetur adipisci elit, sed do eiusmod te</w:t>
            </w:r>
            <w:r w:rsidRPr="00375B00">
              <w:rPr>
                <w:color w:val="0F243E" w:themeColor="text2" w:themeShade="80"/>
              </w:rPr>
              <w:t>m</w:t>
            </w:r>
            <w:r w:rsidRPr="00375B00">
              <w:rPr>
                <w:color w:val="0F243E" w:themeColor="text2" w:themeShade="80"/>
              </w:rPr>
              <w:t xml:space="preserve">por incidunt ut labore et dolore magna aliqua. </w:t>
            </w:r>
            <w:r w:rsidRPr="00C24F6B">
              <w:rPr>
                <w:color w:val="0F243E" w:themeColor="text2" w:themeShade="80"/>
              </w:rPr>
              <w:t>Ut enim ad minim veniam, quis nostrum exercitationem ullamco laboriosam, nisi ut aliquid ex ea co</w:t>
            </w:r>
            <w:r w:rsidRPr="00C24F6B">
              <w:rPr>
                <w:color w:val="0F243E" w:themeColor="text2" w:themeShade="80"/>
              </w:rPr>
              <w:t>m</w:t>
            </w:r>
            <w:r w:rsidRPr="00C24F6B">
              <w:rPr>
                <w:color w:val="0F243E" w:themeColor="text2" w:themeShade="80"/>
              </w:rPr>
              <w:t>modi consequatur.</w:t>
            </w:r>
          </w:p>
        </w:tc>
      </w:tr>
      <w:tr w:rsidR="00E67EDB" w:rsidTr="00EF762F">
        <w:trPr>
          <w:trHeight w:val="567"/>
        </w:trPr>
        <w:tc>
          <w:tcPr>
            <w:tcW w:w="2943" w:type="dxa"/>
            <w:vAlign w:val="center"/>
          </w:tcPr>
          <w:p w:rsidR="00E67EDB" w:rsidRDefault="00E67EDB" w:rsidP="00EF762F">
            <w:pPr>
              <w:pStyle w:val="LABELSEMPLICI"/>
            </w:pPr>
            <w:r w:rsidRPr="00E67EDB">
              <w:t>CA6. condizioni meteo-climatiche</w:t>
            </w:r>
          </w:p>
        </w:tc>
        <w:tc>
          <w:tcPr>
            <w:tcW w:w="6266" w:type="dxa"/>
            <w:shd w:val="clear" w:color="auto" w:fill="FFFFFF"/>
            <w:vAlign w:val="center"/>
          </w:tcPr>
          <w:p w:rsidR="00E67EDB" w:rsidRDefault="00E67EDB" w:rsidP="00EF762F">
            <w:pPr>
              <w:pStyle w:val="CAMPI"/>
              <w:jc w:val="both"/>
            </w:pPr>
            <w:r w:rsidRPr="00375B00">
              <w:rPr>
                <w:color w:val="0F243E" w:themeColor="text2" w:themeShade="80"/>
              </w:rPr>
              <w:t>Lorem ipsum dolor sit amet, consectetur adipisci elit, sed do eiusmod te</w:t>
            </w:r>
            <w:r w:rsidRPr="00375B00">
              <w:rPr>
                <w:color w:val="0F243E" w:themeColor="text2" w:themeShade="80"/>
              </w:rPr>
              <w:t>m</w:t>
            </w:r>
            <w:r w:rsidRPr="00375B00">
              <w:rPr>
                <w:color w:val="0F243E" w:themeColor="text2" w:themeShade="80"/>
              </w:rPr>
              <w:t xml:space="preserve">por incidunt ut labore et dolore magna aliqua. </w:t>
            </w:r>
            <w:r w:rsidRPr="00C24F6B">
              <w:rPr>
                <w:color w:val="0F243E" w:themeColor="text2" w:themeShade="80"/>
              </w:rPr>
              <w:t>Ut enim ad minim veniam, quis nostrum exercitationem ullamco laboriosam, nisi ut aliquid ex ea co</w:t>
            </w:r>
            <w:r w:rsidRPr="00C24F6B">
              <w:rPr>
                <w:color w:val="0F243E" w:themeColor="text2" w:themeShade="80"/>
              </w:rPr>
              <w:t>m</w:t>
            </w:r>
            <w:r w:rsidRPr="00C24F6B">
              <w:rPr>
                <w:color w:val="0F243E" w:themeColor="text2" w:themeShade="80"/>
              </w:rPr>
              <w:t>modi consequatur.</w:t>
            </w:r>
          </w:p>
        </w:tc>
      </w:tr>
      <w:tr w:rsidR="00E67EDB" w:rsidRPr="003F2451" w:rsidTr="00EF762F">
        <w:trPr>
          <w:trHeight w:val="567"/>
        </w:trPr>
        <w:tc>
          <w:tcPr>
            <w:tcW w:w="2943" w:type="dxa"/>
            <w:vAlign w:val="center"/>
          </w:tcPr>
          <w:p w:rsidR="00D747E6" w:rsidRDefault="00D747E6" w:rsidP="00D747E6">
            <w:pPr>
              <w:pStyle w:val="LABELSEMPLICI"/>
              <w:rPr>
                <w:rFonts w:ascii="Times New Roman" w:hAnsi="Times New Roman"/>
                <w:b/>
                <w:sz w:val="24"/>
              </w:rPr>
            </w:pPr>
            <w:r w:rsidRPr="00FF2723">
              <w:rPr>
                <w:rFonts w:ascii="Times New Roman" w:hAnsi="Times New Roman"/>
                <w:b/>
                <w:sz w:val="24"/>
              </w:rPr>
              <w:t>CA7. parametri fisico-meccanici dei terreni</w:t>
            </w:r>
          </w:p>
          <w:p w:rsidR="00D747E6" w:rsidRPr="00383F72" w:rsidRDefault="00D747E6" w:rsidP="00383F72">
            <w:pPr>
              <w:pStyle w:val="LABELSEMPLICI"/>
              <w:spacing w:line="288" w:lineRule="auto"/>
              <w:rPr>
                <w:rFonts w:ascii="Times New Roman" w:hAnsi="Times New Roman"/>
                <w:i/>
                <w:iCs/>
                <w:sz w:val="24"/>
                <w:szCs w:val="24"/>
              </w:rPr>
            </w:pPr>
            <w:r w:rsidRPr="00383F72">
              <w:rPr>
                <w:rFonts w:ascii="Times New Roman" w:hAnsi="Times New Roman"/>
                <w:sz w:val="24"/>
                <w:szCs w:val="24"/>
              </w:rPr>
              <w:t>“</w:t>
            </w:r>
            <w:r w:rsidRPr="00383F72">
              <w:rPr>
                <w:rFonts w:ascii="Times New Roman" w:hAnsi="Times New Roman"/>
                <w:i/>
                <w:iCs/>
                <w:sz w:val="24"/>
                <w:szCs w:val="24"/>
              </w:rPr>
              <w:t>Sono caratteristiche che influenzano in particolare la capacità portante e la</w:t>
            </w:r>
          </w:p>
          <w:p w:rsidR="00E67EDB" w:rsidRDefault="00D747E6" w:rsidP="00383F72">
            <w:pPr>
              <w:pStyle w:val="LABELSEMPLICI"/>
              <w:spacing w:line="288" w:lineRule="auto"/>
            </w:pPr>
            <w:r w:rsidRPr="00383F72">
              <w:rPr>
                <w:rFonts w:ascii="Times New Roman" w:hAnsi="Times New Roman"/>
                <w:i/>
                <w:iCs/>
                <w:sz w:val="24"/>
                <w:szCs w:val="24"/>
              </w:rPr>
              <w:t>suscettibilità a fenomeni di liquefazione”</w:t>
            </w:r>
          </w:p>
        </w:tc>
        <w:tc>
          <w:tcPr>
            <w:tcW w:w="6266" w:type="dxa"/>
            <w:shd w:val="clear" w:color="auto" w:fill="FFFFFF"/>
            <w:vAlign w:val="center"/>
          </w:tcPr>
          <w:p w:rsidR="00E67EDB" w:rsidRPr="003F2451" w:rsidRDefault="00EF762F" w:rsidP="008D09AF">
            <w:pPr>
              <w:pStyle w:val="CAMPI"/>
              <w:spacing w:before="0" w:after="0" w:line="276" w:lineRule="auto"/>
              <w:jc w:val="both"/>
            </w:pPr>
            <w:r w:rsidRPr="003F2451">
              <w:rPr>
                <w:b/>
                <w:bCs/>
                <w:color w:val="0F243E" w:themeColor="text2" w:themeShade="80"/>
              </w:rPr>
              <w:t>nell’elaborato SOGIN - DN GS 00102 “Basi teoriche e modalità di a</w:t>
            </w:r>
            <w:r w:rsidR="00865E42" w:rsidRPr="003F2451">
              <w:rPr>
                <w:b/>
                <w:bCs/>
                <w:color w:val="0F243E" w:themeColor="text2" w:themeShade="80"/>
              </w:rPr>
              <w:t>p</w:t>
            </w:r>
            <w:r w:rsidRPr="003F2451">
              <w:rPr>
                <w:b/>
                <w:bCs/>
                <w:color w:val="0F243E" w:themeColor="text2" w:themeShade="80"/>
              </w:rPr>
              <w:t>plicazione dei criteri per la realizzazione della CNAPI - Revisione 04 del 30-12-2020”</w:t>
            </w:r>
            <w:r w:rsidRPr="003F2451">
              <w:rPr>
                <w:bCs/>
                <w:color w:val="0F243E" w:themeColor="text2" w:themeShade="80"/>
              </w:rPr>
              <w:t xml:space="preserve">, relativamente al </w:t>
            </w:r>
            <w:r w:rsidRPr="003F2451">
              <w:rPr>
                <w:b/>
                <w:bCs/>
                <w:color w:val="0F243E" w:themeColor="text2" w:themeShade="80"/>
              </w:rPr>
              <w:t xml:space="preserve">criterio di </w:t>
            </w:r>
            <w:r w:rsidR="00865E42" w:rsidRPr="003F2451">
              <w:rPr>
                <w:b/>
                <w:bCs/>
                <w:color w:val="0F243E" w:themeColor="text2" w:themeShade="80"/>
              </w:rPr>
              <w:t>approfondimento</w:t>
            </w:r>
            <w:r w:rsidRPr="003F2451">
              <w:rPr>
                <w:b/>
                <w:bCs/>
                <w:color w:val="0F243E" w:themeColor="text2" w:themeShade="80"/>
              </w:rPr>
              <w:t xml:space="preserve"> C</w:t>
            </w:r>
            <w:r w:rsidR="00865E42" w:rsidRPr="003F2451">
              <w:rPr>
                <w:b/>
                <w:bCs/>
                <w:color w:val="0F243E" w:themeColor="text2" w:themeShade="80"/>
              </w:rPr>
              <w:t>A7</w:t>
            </w:r>
            <w:r w:rsidRPr="003F2451">
              <w:rPr>
                <w:b/>
                <w:color w:val="0F243E" w:themeColor="text2" w:themeShade="80"/>
              </w:rPr>
              <w:t xml:space="preserve"> </w:t>
            </w:r>
            <w:r w:rsidRPr="003F2451">
              <w:rPr>
                <w:bCs/>
                <w:color w:val="0F243E" w:themeColor="text2" w:themeShade="80"/>
              </w:rPr>
              <w:t xml:space="preserve">- </w:t>
            </w:r>
            <w:r w:rsidR="00865E42" w:rsidRPr="003F2451">
              <w:rPr>
                <w:color w:val="0F243E" w:themeColor="text2" w:themeShade="80"/>
              </w:rPr>
              <w:t>p</w:t>
            </w:r>
            <w:r w:rsidR="00865E42" w:rsidRPr="003F2451">
              <w:rPr>
                <w:color w:val="0F243E" w:themeColor="text2" w:themeShade="80"/>
              </w:rPr>
              <w:t>a</w:t>
            </w:r>
            <w:r w:rsidR="00865E42" w:rsidRPr="003F2451">
              <w:rPr>
                <w:color w:val="0F243E" w:themeColor="text2" w:themeShade="80"/>
              </w:rPr>
              <w:t>rametri fisico-meccanici dei terreni</w:t>
            </w:r>
            <w:r w:rsidR="00865E42" w:rsidRPr="003F2451">
              <w:rPr>
                <w:bCs/>
                <w:color w:val="0F243E" w:themeColor="text2" w:themeShade="80"/>
              </w:rPr>
              <w:t xml:space="preserve"> </w:t>
            </w:r>
            <w:r w:rsidRPr="003F2451">
              <w:rPr>
                <w:bCs/>
                <w:color w:val="0F243E" w:themeColor="text2" w:themeShade="80"/>
              </w:rPr>
              <w:t xml:space="preserve">si precisa quanto segue:  </w:t>
            </w:r>
            <w:r w:rsidR="009814BB" w:rsidRPr="003F2451">
              <w:rPr>
                <w:color w:val="0F243E" w:themeColor="text2" w:themeShade="80"/>
              </w:rPr>
              <w:t>Il criterio di approfondimento CA7 contenuto nella GT29 chiede di valutare i parametri fisico-meccanici dei terreni, specificando che: “Sono caratteristiche che i</w:t>
            </w:r>
            <w:r w:rsidR="009814BB" w:rsidRPr="003F2451">
              <w:rPr>
                <w:color w:val="0F243E" w:themeColor="text2" w:themeShade="80"/>
              </w:rPr>
              <w:t>n</w:t>
            </w:r>
            <w:r w:rsidR="009814BB" w:rsidRPr="003F2451">
              <w:rPr>
                <w:color w:val="0F243E" w:themeColor="text2" w:themeShade="80"/>
              </w:rPr>
              <w:t>fluenzano in particolare la capacità portante e la suscettibilità a fenomeni di liquefazione.” Per i riferimenti IAEA della SSG-29 (2014) si rimanda a qua</w:t>
            </w:r>
            <w:r w:rsidR="009814BB" w:rsidRPr="003F2451">
              <w:rPr>
                <w:color w:val="0F243E" w:themeColor="text2" w:themeShade="80"/>
              </w:rPr>
              <w:t>n</w:t>
            </w:r>
            <w:r w:rsidR="009814BB" w:rsidRPr="003F2451">
              <w:rPr>
                <w:color w:val="0F243E" w:themeColor="text2" w:themeShade="80"/>
              </w:rPr>
              <w:t xml:space="preserve">to riportato nel capitolo relativo ai criteri di esclusione CE9 e CE10. </w:t>
            </w:r>
            <w:r w:rsidR="009814BB" w:rsidRPr="003F2451">
              <w:rPr>
                <w:b/>
                <w:color w:val="0F243E" w:themeColor="text2" w:themeShade="80"/>
              </w:rPr>
              <w:t>Nella presente fase di localizzazione sono state eseguite alcune attività speditive</w:t>
            </w:r>
            <w:r w:rsidR="009814BB" w:rsidRPr="003F2451">
              <w:rPr>
                <w:color w:val="0F243E" w:themeColor="text2" w:themeShade="80"/>
              </w:rPr>
              <w:t xml:space="preserve"> nel corso del 6° livello di analisi per definire un inquadramento geologico delle aree non escluse e </w:t>
            </w:r>
            <w:r w:rsidR="009814BB" w:rsidRPr="003F2451">
              <w:rPr>
                <w:b/>
                <w:color w:val="0F243E" w:themeColor="text2" w:themeShade="80"/>
              </w:rPr>
              <w:t>per raccogliere, laddove disponibili, alcuni dati relativi a parametri geotecnici</w:t>
            </w:r>
            <w:r w:rsidR="009814BB" w:rsidRPr="003F2451">
              <w:rPr>
                <w:color w:val="0F243E" w:themeColor="text2" w:themeShade="80"/>
              </w:rPr>
              <w:t xml:space="preserve">. Da queste attività è possibile trarre alcune prime indicazioni riguardo il criterio CA7. </w:t>
            </w:r>
            <w:r w:rsidR="009814BB" w:rsidRPr="003F2451">
              <w:rPr>
                <w:b/>
                <w:color w:val="0F243E" w:themeColor="text2" w:themeShade="80"/>
              </w:rPr>
              <w:t>La completa verif</w:t>
            </w:r>
            <w:r w:rsidR="009814BB" w:rsidRPr="003F2451">
              <w:rPr>
                <w:b/>
                <w:color w:val="0F243E" w:themeColor="text2" w:themeShade="80"/>
              </w:rPr>
              <w:t>i</w:t>
            </w:r>
            <w:r w:rsidR="009814BB" w:rsidRPr="003F2451">
              <w:rPr>
                <w:b/>
                <w:color w:val="0F243E" w:themeColor="text2" w:themeShade="80"/>
              </w:rPr>
              <w:t>ca del criterio richiede indagini dirette proprie delle successive fasi del processo di localizzazione</w:t>
            </w:r>
            <w:r w:rsidR="00865E42" w:rsidRPr="003F2451">
              <w:rPr>
                <w:color w:val="0F243E" w:themeColor="text2" w:themeShade="80"/>
              </w:rPr>
              <w:t xml:space="preserve">, </w:t>
            </w:r>
            <w:r w:rsidR="00865E42" w:rsidRPr="003F2451">
              <w:rPr>
                <w:color w:val="FF0000"/>
              </w:rPr>
              <w:t>Osservazioni:</w:t>
            </w:r>
            <w:r w:rsidR="007334BB" w:rsidRPr="003F2451">
              <w:rPr>
                <w:color w:val="FF0000"/>
              </w:rPr>
              <w:t xml:space="preserve"> </w:t>
            </w:r>
            <w:r w:rsidR="00562777" w:rsidRPr="003F2451">
              <w:rPr>
                <w:color w:val="FF0000"/>
              </w:rPr>
              <w:t xml:space="preserve">dalla Relazione Tecnica </w:t>
            </w:r>
            <w:r w:rsidR="00C24EE9" w:rsidRPr="003F2451">
              <w:rPr>
                <w:color w:val="FF0000"/>
              </w:rPr>
              <w:t>SOGIN</w:t>
            </w:r>
            <w:r w:rsidR="00562777" w:rsidRPr="003F2451">
              <w:rPr>
                <w:color w:val="FF0000"/>
              </w:rPr>
              <w:t xml:space="preserve"> </w:t>
            </w:r>
            <w:r w:rsidR="008D09AF" w:rsidRPr="003F2451">
              <w:rPr>
                <w:color w:val="FF0000"/>
              </w:rPr>
              <w:t>su</w:t>
            </w:r>
            <w:r w:rsidR="00562777" w:rsidRPr="003F2451">
              <w:rPr>
                <w:color w:val="FF0000"/>
              </w:rPr>
              <w:t xml:space="preserve">ll’area BA_MT-4 (DN GS 00161 - Revisione 03 del 10-01-2020), </w:t>
            </w:r>
            <w:r w:rsidR="00C22ED9" w:rsidRPr="003F2451">
              <w:rPr>
                <w:color w:val="FF0000"/>
              </w:rPr>
              <w:t xml:space="preserve">tenuto conto che </w:t>
            </w:r>
            <w:r w:rsidR="00C22ED9" w:rsidRPr="003F2451">
              <w:rPr>
                <w:b/>
                <w:color w:val="FF0000"/>
              </w:rPr>
              <w:t>questo aspetto è stato affrontato al 6° livello di analisi (</w:t>
            </w:r>
            <w:r w:rsidR="00C22ED9" w:rsidRPr="003F2451">
              <w:rPr>
                <w:rFonts w:eastAsia="Cambria" w:cs="Arial"/>
                <w:b/>
                <w:color w:val="FF0000"/>
              </w:rPr>
              <w:t>rilievi speditivi sul campo e valutazioni a scala di area)</w:t>
            </w:r>
            <w:r w:rsidR="00C22ED9" w:rsidRPr="003F2451">
              <w:rPr>
                <w:rFonts w:eastAsia="Cambria" w:cs="Arial"/>
                <w:color w:val="FF0000"/>
              </w:rPr>
              <w:t>,</w:t>
            </w:r>
            <w:r w:rsidR="00C22ED9" w:rsidRPr="003F2451">
              <w:rPr>
                <w:color w:val="FF0000"/>
              </w:rPr>
              <w:t xml:space="preserve"> </w:t>
            </w:r>
            <w:r w:rsidR="00C22ED9" w:rsidRPr="003F2451">
              <w:rPr>
                <w:b/>
                <w:color w:val="FF0000"/>
              </w:rPr>
              <w:t>che</w:t>
            </w:r>
            <w:r w:rsidR="00C22ED9" w:rsidRPr="003F2451">
              <w:rPr>
                <w:color w:val="FF0000"/>
              </w:rPr>
              <w:t xml:space="preserve"> secondo i criteri per la realizzazione della CNAPI </w:t>
            </w:r>
            <w:r w:rsidR="00C22ED9" w:rsidRPr="003F2451">
              <w:rPr>
                <w:b/>
                <w:color w:val="FF0000"/>
              </w:rPr>
              <w:t>rappresenta il massimo livello di approfondimento per questa fase</w:t>
            </w:r>
            <w:r w:rsidR="00C22ED9" w:rsidRPr="003F2451">
              <w:rPr>
                <w:color w:val="FF0000"/>
              </w:rPr>
              <w:t xml:space="preserve"> cioè quello alla scala dell’area di inte</w:t>
            </w:r>
            <w:r w:rsidR="00C22ED9" w:rsidRPr="003F2451">
              <w:rPr>
                <w:color w:val="FF0000"/>
              </w:rPr>
              <w:t>r</w:t>
            </w:r>
            <w:r w:rsidR="00C22ED9" w:rsidRPr="003F2451">
              <w:rPr>
                <w:color w:val="FF0000"/>
              </w:rPr>
              <w:t xml:space="preserve">vento, </w:t>
            </w:r>
            <w:r w:rsidR="005F5656" w:rsidRPr="003F2451">
              <w:rPr>
                <w:b/>
                <w:color w:val="FF0000"/>
              </w:rPr>
              <w:t xml:space="preserve">risulta evidente che la tematica non è stata </w:t>
            </w:r>
            <w:r w:rsidR="00562777" w:rsidRPr="003F2451">
              <w:rPr>
                <w:b/>
                <w:color w:val="FF0000"/>
              </w:rPr>
              <w:t>praticamente</w:t>
            </w:r>
            <w:r w:rsidR="005F5656" w:rsidRPr="003F2451">
              <w:rPr>
                <w:b/>
                <w:color w:val="FF0000"/>
              </w:rPr>
              <w:t xml:space="preserve"> affro</w:t>
            </w:r>
            <w:r w:rsidR="005F5656" w:rsidRPr="003F2451">
              <w:rPr>
                <w:b/>
                <w:color w:val="FF0000"/>
              </w:rPr>
              <w:t>n</w:t>
            </w:r>
            <w:r w:rsidR="005F5656" w:rsidRPr="003F2451">
              <w:rPr>
                <w:b/>
                <w:color w:val="FF0000"/>
              </w:rPr>
              <w:t>tata</w:t>
            </w:r>
            <w:r w:rsidR="00FB7EF2" w:rsidRPr="003F2451">
              <w:rPr>
                <w:b/>
                <w:color w:val="FF0000"/>
              </w:rPr>
              <w:t>,</w:t>
            </w:r>
            <w:r w:rsidR="00562777" w:rsidRPr="003F2451">
              <w:rPr>
                <w:b/>
                <w:color w:val="FF0000"/>
              </w:rPr>
              <w:t xml:space="preserve"> </w:t>
            </w:r>
            <w:r w:rsidR="005F5656" w:rsidRPr="003F2451">
              <w:rPr>
                <w:b/>
                <w:color w:val="FF0000"/>
              </w:rPr>
              <w:t>anche alla luce dell’</w:t>
            </w:r>
            <w:r w:rsidR="0072504D" w:rsidRPr="003F2451">
              <w:rPr>
                <w:b/>
                <w:color w:val="FF0000"/>
              </w:rPr>
              <w:t xml:space="preserve">obsolescenza dell’unico </w:t>
            </w:r>
            <w:r w:rsidR="005F5656" w:rsidRPr="003F2451">
              <w:rPr>
                <w:b/>
                <w:color w:val="FF0000"/>
              </w:rPr>
              <w:t>materiale bibliograf</w:t>
            </w:r>
            <w:r w:rsidR="005F5656" w:rsidRPr="003F2451">
              <w:rPr>
                <w:b/>
                <w:color w:val="FF0000"/>
              </w:rPr>
              <w:t>i</w:t>
            </w:r>
            <w:r w:rsidR="005F5656" w:rsidRPr="003F2451">
              <w:rPr>
                <w:b/>
                <w:color w:val="FF0000"/>
              </w:rPr>
              <w:t>co consultato</w:t>
            </w:r>
            <w:r w:rsidR="005F5656" w:rsidRPr="003F2451">
              <w:rPr>
                <w:color w:val="FF0000"/>
              </w:rPr>
              <w:t xml:space="preserve"> </w:t>
            </w:r>
            <w:r w:rsidR="005F5656" w:rsidRPr="003F2451">
              <w:rPr>
                <w:b/>
                <w:bCs/>
                <w:color w:val="FF0000"/>
              </w:rPr>
              <w:t>(</w:t>
            </w:r>
            <w:r w:rsidR="005F5656" w:rsidRPr="003F2451">
              <w:rPr>
                <w:bCs/>
                <w:color w:val="FF0000"/>
              </w:rPr>
              <w:t>Radina B., 1973 - Saggio e note illustrative di una carta geologico-tecnica (Tav. 189 IIISE “Matera Nord”. Geol. Appl. e Idrogeol., Vol. VIII, 2, pp. 89-106, Bari)</w:t>
            </w:r>
            <w:r w:rsidR="00562777" w:rsidRPr="003F2451">
              <w:rPr>
                <w:bCs/>
                <w:color w:val="FF0000"/>
              </w:rPr>
              <w:t>.</w:t>
            </w:r>
            <w:r w:rsidR="00562777" w:rsidRPr="003F2451">
              <w:rPr>
                <w:b/>
                <w:color w:val="FF0000"/>
              </w:rPr>
              <w:t xml:space="preserve"> Infatti, </w:t>
            </w:r>
            <w:r w:rsidR="00FB7EF2" w:rsidRPr="003F2451">
              <w:rPr>
                <w:b/>
                <w:color w:val="FF0000"/>
              </w:rPr>
              <w:t>a fronte di una successione litos</w:t>
            </w:r>
            <w:r w:rsidRPr="003F2451">
              <w:rPr>
                <w:b/>
                <w:color w:val="FF0000"/>
              </w:rPr>
              <w:t>tr</w:t>
            </w:r>
            <w:r w:rsidRPr="003F2451">
              <w:rPr>
                <w:b/>
                <w:color w:val="FF0000"/>
              </w:rPr>
              <w:t>a</w:t>
            </w:r>
            <w:r w:rsidRPr="003F2451">
              <w:rPr>
                <w:b/>
                <w:color w:val="FF0000"/>
              </w:rPr>
              <w:t>tigrafica che presenta diverse unità ospitanti una falda idrica superf</w:t>
            </w:r>
            <w:r w:rsidRPr="003F2451">
              <w:rPr>
                <w:b/>
                <w:color w:val="FF0000"/>
              </w:rPr>
              <w:t>i</w:t>
            </w:r>
            <w:r w:rsidRPr="003F2451">
              <w:rPr>
                <w:b/>
                <w:color w:val="FF0000"/>
              </w:rPr>
              <w:t xml:space="preserve">ciale e delle quali </w:t>
            </w:r>
            <w:r w:rsidR="00DF1EB0" w:rsidRPr="003F2451">
              <w:rPr>
                <w:b/>
                <w:color w:val="FF0000"/>
              </w:rPr>
              <w:t>l’</w:t>
            </w:r>
            <w:r w:rsidRPr="003F2451">
              <w:rPr>
                <w:b/>
                <w:color w:val="FF0000"/>
              </w:rPr>
              <w:t xml:space="preserve">unità B </w:t>
            </w:r>
            <w:r w:rsidR="00DF1EB0" w:rsidRPr="003F2451">
              <w:rPr>
                <w:b/>
                <w:color w:val="FF0000"/>
              </w:rPr>
              <w:t>(</w:t>
            </w:r>
            <w:r w:rsidRPr="003F2451">
              <w:rPr>
                <w:b/>
                <w:color w:val="FF0000"/>
              </w:rPr>
              <w:t>limoso-sabbiosa)</w:t>
            </w:r>
            <w:r w:rsidR="003D5693" w:rsidRPr="003F2451">
              <w:rPr>
                <w:b/>
                <w:color w:val="FF0000"/>
              </w:rPr>
              <w:t>,</w:t>
            </w:r>
            <w:r w:rsidRPr="003F2451">
              <w:rPr>
                <w:b/>
                <w:color w:val="FF0000"/>
              </w:rPr>
              <w:t xml:space="preserve"> che necessiterebbe di approfondimenti riguardo al potenziale fenomeno di liquefazione, </w:t>
            </w:r>
            <w:r w:rsidR="00562777" w:rsidRPr="003F2451">
              <w:rPr>
                <w:b/>
                <w:color w:val="FF0000"/>
              </w:rPr>
              <w:t>gli unici</w:t>
            </w:r>
            <w:r w:rsidR="00FB7EF2" w:rsidRPr="003F2451">
              <w:rPr>
                <w:b/>
                <w:color w:val="FF0000"/>
              </w:rPr>
              <w:t xml:space="preserve"> parametri geotecnici </w:t>
            </w:r>
            <w:r w:rsidRPr="003F2451">
              <w:rPr>
                <w:b/>
                <w:color w:val="FF0000"/>
              </w:rPr>
              <w:t>accertati sono il peso di volume e la poros</w:t>
            </w:r>
            <w:r w:rsidRPr="003F2451">
              <w:rPr>
                <w:b/>
                <w:color w:val="FF0000"/>
              </w:rPr>
              <w:t>i</w:t>
            </w:r>
            <w:r w:rsidRPr="003F2451">
              <w:rPr>
                <w:b/>
                <w:color w:val="FF0000"/>
              </w:rPr>
              <w:t>tà</w:t>
            </w:r>
            <w:r w:rsidR="0055328D" w:rsidRPr="003F2451">
              <w:rPr>
                <w:b/>
                <w:color w:val="FF0000"/>
              </w:rPr>
              <w:t>.</w:t>
            </w:r>
          </w:p>
        </w:tc>
      </w:tr>
      <w:tr w:rsidR="00E67EDB" w:rsidTr="00EF762F">
        <w:trPr>
          <w:trHeight w:val="567"/>
        </w:trPr>
        <w:tc>
          <w:tcPr>
            <w:tcW w:w="2943" w:type="dxa"/>
            <w:vAlign w:val="center"/>
          </w:tcPr>
          <w:p w:rsidR="00E67EDB" w:rsidRDefault="00E639BF" w:rsidP="00EF762F">
            <w:pPr>
              <w:pStyle w:val="LABELSEMPLICI"/>
            </w:pPr>
            <w:r w:rsidRPr="00E639BF">
              <w:lastRenderedPageBreak/>
              <w:t>CA8. parametri idrogeologici</w:t>
            </w:r>
          </w:p>
        </w:tc>
        <w:tc>
          <w:tcPr>
            <w:tcW w:w="6266" w:type="dxa"/>
            <w:shd w:val="clear" w:color="auto" w:fill="FFFFFF"/>
            <w:vAlign w:val="center"/>
          </w:tcPr>
          <w:p w:rsidR="00E67EDB" w:rsidRDefault="00E67EDB" w:rsidP="00EF762F">
            <w:pPr>
              <w:pStyle w:val="CAMPI"/>
              <w:jc w:val="both"/>
            </w:pPr>
            <w:r w:rsidRPr="00375B00">
              <w:rPr>
                <w:color w:val="0F243E" w:themeColor="text2" w:themeShade="80"/>
              </w:rPr>
              <w:t>Lorem ipsum dolor sit amet, consectetur adipisci elit, sed do eiusmod te</w:t>
            </w:r>
            <w:r w:rsidRPr="00375B00">
              <w:rPr>
                <w:color w:val="0F243E" w:themeColor="text2" w:themeShade="80"/>
              </w:rPr>
              <w:t>m</w:t>
            </w:r>
            <w:r w:rsidRPr="00375B00">
              <w:rPr>
                <w:color w:val="0F243E" w:themeColor="text2" w:themeShade="80"/>
              </w:rPr>
              <w:t xml:space="preserve">por incidunt ut labore et dolore magna aliqua. </w:t>
            </w:r>
            <w:r w:rsidRPr="00C24F6B">
              <w:rPr>
                <w:color w:val="0F243E" w:themeColor="text2" w:themeShade="80"/>
              </w:rPr>
              <w:t>Ut enim ad minim veniam, quis nostrum exercitationem ullamco laboriosam, nisi ut aliquid ex ea co</w:t>
            </w:r>
            <w:r w:rsidRPr="00C24F6B">
              <w:rPr>
                <w:color w:val="0F243E" w:themeColor="text2" w:themeShade="80"/>
              </w:rPr>
              <w:t>m</w:t>
            </w:r>
            <w:r w:rsidRPr="00C24F6B">
              <w:rPr>
                <w:color w:val="0F243E" w:themeColor="text2" w:themeShade="80"/>
              </w:rPr>
              <w:t>modi consequatur.</w:t>
            </w:r>
          </w:p>
        </w:tc>
      </w:tr>
      <w:tr w:rsidR="00E67EDB" w:rsidTr="00EF762F">
        <w:trPr>
          <w:trHeight w:val="567"/>
        </w:trPr>
        <w:tc>
          <w:tcPr>
            <w:tcW w:w="2943" w:type="dxa"/>
            <w:vAlign w:val="center"/>
          </w:tcPr>
          <w:p w:rsidR="00E67EDB" w:rsidRDefault="00E639BF" w:rsidP="00EF762F">
            <w:pPr>
              <w:pStyle w:val="LABELSEMPLICI"/>
            </w:pPr>
            <w:r w:rsidRPr="00E639BF">
              <w:t>CA9. parametri chimici del te</w:t>
            </w:r>
            <w:r w:rsidRPr="00E639BF">
              <w:t>r</w:t>
            </w:r>
            <w:r w:rsidRPr="00E639BF">
              <w:t>reno e delle acque di falda</w:t>
            </w:r>
          </w:p>
        </w:tc>
        <w:tc>
          <w:tcPr>
            <w:tcW w:w="6266" w:type="dxa"/>
            <w:shd w:val="clear" w:color="auto" w:fill="FFFFFF"/>
            <w:vAlign w:val="center"/>
          </w:tcPr>
          <w:p w:rsidR="00E67EDB" w:rsidRDefault="00E67EDB" w:rsidP="00EF762F">
            <w:pPr>
              <w:pStyle w:val="CAMPI"/>
              <w:jc w:val="both"/>
            </w:pPr>
            <w:r w:rsidRPr="00375B00">
              <w:rPr>
                <w:color w:val="0F243E" w:themeColor="text2" w:themeShade="80"/>
              </w:rPr>
              <w:t>Lorem ipsum dolor sit amet, consectetur adipisci elit, sed do eiusmod te</w:t>
            </w:r>
            <w:r w:rsidRPr="00375B00">
              <w:rPr>
                <w:color w:val="0F243E" w:themeColor="text2" w:themeShade="80"/>
              </w:rPr>
              <w:t>m</w:t>
            </w:r>
            <w:r w:rsidRPr="00375B00">
              <w:rPr>
                <w:color w:val="0F243E" w:themeColor="text2" w:themeShade="80"/>
              </w:rPr>
              <w:t xml:space="preserve">por incidunt ut labore et dolore magna aliqua. </w:t>
            </w:r>
            <w:r w:rsidRPr="00C24F6B">
              <w:rPr>
                <w:color w:val="0F243E" w:themeColor="text2" w:themeShade="80"/>
              </w:rPr>
              <w:t>Ut enim ad minim veniam, quis nostrum exercitationem ullamco laboriosam, nisi ut aliquid ex ea co</w:t>
            </w:r>
            <w:r w:rsidRPr="00C24F6B">
              <w:rPr>
                <w:color w:val="0F243E" w:themeColor="text2" w:themeShade="80"/>
              </w:rPr>
              <w:t>m</w:t>
            </w:r>
            <w:r w:rsidRPr="00C24F6B">
              <w:rPr>
                <w:color w:val="0F243E" w:themeColor="text2" w:themeShade="80"/>
              </w:rPr>
              <w:t>modi consequatur.</w:t>
            </w:r>
          </w:p>
        </w:tc>
      </w:tr>
      <w:tr w:rsidR="00E67EDB" w:rsidTr="00EF762F">
        <w:trPr>
          <w:trHeight w:val="567"/>
        </w:trPr>
        <w:tc>
          <w:tcPr>
            <w:tcW w:w="2943" w:type="dxa"/>
            <w:vAlign w:val="center"/>
          </w:tcPr>
          <w:p w:rsidR="00E67EDB" w:rsidRDefault="00E639BF" w:rsidP="00EF762F">
            <w:pPr>
              <w:pStyle w:val="LABELSEMPLICI"/>
            </w:pPr>
            <w:r w:rsidRPr="00E639BF">
              <w:t>CA10. presenza di habitat e specie animali e vegetali di rilievo conservazionistico, nonché di geositi</w:t>
            </w:r>
          </w:p>
        </w:tc>
        <w:tc>
          <w:tcPr>
            <w:tcW w:w="6266" w:type="dxa"/>
            <w:shd w:val="clear" w:color="auto" w:fill="FFFFFF"/>
            <w:vAlign w:val="center"/>
          </w:tcPr>
          <w:p w:rsidR="00E67EDB" w:rsidRDefault="00E67EDB" w:rsidP="00EF762F">
            <w:pPr>
              <w:pStyle w:val="CAMPI"/>
              <w:jc w:val="both"/>
            </w:pPr>
            <w:r w:rsidRPr="00375B00">
              <w:rPr>
                <w:color w:val="0F243E" w:themeColor="text2" w:themeShade="80"/>
              </w:rPr>
              <w:t>Lorem ipsum dolor sit amet, consectetur adipisci elit, sed do eiusmod te</w:t>
            </w:r>
            <w:r w:rsidRPr="00375B00">
              <w:rPr>
                <w:color w:val="0F243E" w:themeColor="text2" w:themeShade="80"/>
              </w:rPr>
              <w:t>m</w:t>
            </w:r>
            <w:r w:rsidRPr="00375B00">
              <w:rPr>
                <w:color w:val="0F243E" w:themeColor="text2" w:themeShade="80"/>
              </w:rPr>
              <w:t xml:space="preserve">por incidunt ut labore et dolore magna aliqua. </w:t>
            </w:r>
            <w:r w:rsidRPr="00C24F6B">
              <w:rPr>
                <w:color w:val="0F243E" w:themeColor="text2" w:themeShade="80"/>
              </w:rPr>
              <w:t>Ut enim ad minim veniam, quis nostrum exercitationem ullamco laboriosam, nisi ut aliquid ex ea co</w:t>
            </w:r>
            <w:r w:rsidRPr="00C24F6B">
              <w:rPr>
                <w:color w:val="0F243E" w:themeColor="text2" w:themeShade="80"/>
              </w:rPr>
              <w:t>m</w:t>
            </w:r>
            <w:r w:rsidRPr="00C24F6B">
              <w:rPr>
                <w:color w:val="0F243E" w:themeColor="text2" w:themeShade="80"/>
              </w:rPr>
              <w:t>modi consequatur.</w:t>
            </w:r>
          </w:p>
        </w:tc>
      </w:tr>
      <w:tr w:rsidR="00E67EDB" w:rsidTr="00EF762F">
        <w:trPr>
          <w:trHeight w:val="567"/>
        </w:trPr>
        <w:tc>
          <w:tcPr>
            <w:tcW w:w="2943" w:type="dxa"/>
            <w:vAlign w:val="center"/>
          </w:tcPr>
          <w:p w:rsidR="00E639BF" w:rsidRPr="00375B00" w:rsidRDefault="00E639BF" w:rsidP="00E639BF">
            <w:pPr>
              <w:pStyle w:val="LABELSEMPLICI"/>
              <w:rPr>
                <w:color w:val="FF0000"/>
              </w:rPr>
            </w:pPr>
          </w:p>
          <w:p w:rsidR="00E67EDB" w:rsidRPr="00375B00" w:rsidRDefault="00E639BF" w:rsidP="00E639BF">
            <w:pPr>
              <w:pStyle w:val="LABELSEMPLICI"/>
              <w:rPr>
                <w:color w:val="FF0000"/>
              </w:rPr>
            </w:pPr>
            <w:r w:rsidRPr="00375B00">
              <w:rPr>
                <w:color w:val="FF0000"/>
              </w:rPr>
              <w:t>CA11</w:t>
            </w:r>
            <w:r w:rsidR="00375B00">
              <w:rPr>
                <w:color w:val="FF0000"/>
              </w:rPr>
              <w:t>*</w:t>
            </w:r>
            <w:r w:rsidRPr="00375B00">
              <w:rPr>
                <w:color w:val="FF0000"/>
              </w:rPr>
              <w:t>. produzioni agricole di particolare qualità e tipicità e luoghi di interesse archeolog</w:t>
            </w:r>
            <w:r w:rsidRPr="00375B00">
              <w:rPr>
                <w:color w:val="FF0000"/>
              </w:rPr>
              <w:t>i</w:t>
            </w:r>
            <w:r w:rsidRPr="00375B00">
              <w:rPr>
                <w:color w:val="FF0000"/>
              </w:rPr>
              <w:t>co e storico</w:t>
            </w:r>
          </w:p>
        </w:tc>
        <w:tc>
          <w:tcPr>
            <w:tcW w:w="6266" w:type="dxa"/>
            <w:shd w:val="clear" w:color="auto" w:fill="FFFFFF"/>
            <w:vAlign w:val="center"/>
          </w:tcPr>
          <w:p w:rsidR="00E67EDB" w:rsidRPr="00375B00" w:rsidRDefault="00E67EDB" w:rsidP="00EF762F">
            <w:pPr>
              <w:pStyle w:val="CAMPI"/>
              <w:jc w:val="both"/>
              <w:rPr>
                <w:color w:val="FF0000"/>
              </w:rPr>
            </w:pPr>
            <w:r w:rsidRPr="00375B00">
              <w:rPr>
                <w:color w:val="FF0000"/>
              </w:rPr>
              <w:t>Lorem ipsum dolor sit amet, consectetur adipisci elit, sed do eiusmod te</w:t>
            </w:r>
            <w:r w:rsidRPr="00375B00">
              <w:rPr>
                <w:color w:val="FF0000"/>
              </w:rPr>
              <w:t>m</w:t>
            </w:r>
            <w:r w:rsidRPr="00375B00">
              <w:rPr>
                <w:color w:val="FF0000"/>
              </w:rPr>
              <w:t>por incidunt ut labore et dolore magna aliqua. Ut enim ad minim veniam, quis nostrum exercitationem ullamco laboriosam, nisi ut aliquid ex ea co</w:t>
            </w:r>
            <w:r w:rsidRPr="00375B00">
              <w:rPr>
                <w:color w:val="FF0000"/>
              </w:rPr>
              <w:t>m</w:t>
            </w:r>
            <w:r w:rsidRPr="00375B00">
              <w:rPr>
                <w:color w:val="FF0000"/>
              </w:rPr>
              <w:t>modi consequatur.</w:t>
            </w:r>
          </w:p>
        </w:tc>
      </w:tr>
      <w:tr w:rsidR="00E67EDB" w:rsidTr="00EF762F">
        <w:trPr>
          <w:trHeight w:val="567"/>
        </w:trPr>
        <w:tc>
          <w:tcPr>
            <w:tcW w:w="2943" w:type="dxa"/>
            <w:vAlign w:val="center"/>
          </w:tcPr>
          <w:p w:rsidR="00E67EDB" w:rsidRPr="00375B00" w:rsidRDefault="00E639BF" w:rsidP="00EF762F">
            <w:pPr>
              <w:pStyle w:val="LABELSEMPLICI"/>
              <w:rPr>
                <w:color w:val="FF0000"/>
              </w:rPr>
            </w:pPr>
            <w:r w:rsidRPr="00375B00">
              <w:rPr>
                <w:color w:val="FF0000"/>
              </w:rPr>
              <w:t>CA12</w:t>
            </w:r>
            <w:r w:rsidR="00375B00">
              <w:rPr>
                <w:color w:val="FF0000"/>
              </w:rPr>
              <w:t>*</w:t>
            </w:r>
            <w:r w:rsidRPr="00375B00">
              <w:rPr>
                <w:color w:val="FF0000"/>
              </w:rPr>
              <w:t>. disponibilità di vie di comunicazione primarie e i</w:t>
            </w:r>
            <w:r w:rsidRPr="00375B00">
              <w:rPr>
                <w:color w:val="FF0000"/>
              </w:rPr>
              <w:t>n</w:t>
            </w:r>
            <w:r w:rsidRPr="00375B00">
              <w:rPr>
                <w:color w:val="FF0000"/>
              </w:rPr>
              <w:t>frastrutture di trasporto</w:t>
            </w:r>
          </w:p>
        </w:tc>
        <w:tc>
          <w:tcPr>
            <w:tcW w:w="6266" w:type="dxa"/>
            <w:shd w:val="clear" w:color="auto" w:fill="FFFFFF"/>
            <w:vAlign w:val="center"/>
          </w:tcPr>
          <w:p w:rsidR="00E67EDB" w:rsidRPr="00375B00" w:rsidRDefault="00E67EDB" w:rsidP="00EF762F">
            <w:pPr>
              <w:pStyle w:val="CAMPI"/>
              <w:jc w:val="both"/>
              <w:rPr>
                <w:color w:val="FF0000"/>
              </w:rPr>
            </w:pPr>
            <w:r w:rsidRPr="00375B00">
              <w:rPr>
                <w:color w:val="FF0000"/>
              </w:rPr>
              <w:t>Lorem ipsum dolor sit amet, consectetur adipisci elit, sed do eiusmod te</w:t>
            </w:r>
            <w:r w:rsidRPr="00375B00">
              <w:rPr>
                <w:color w:val="FF0000"/>
              </w:rPr>
              <w:t>m</w:t>
            </w:r>
            <w:r w:rsidRPr="00375B00">
              <w:rPr>
                <w:color w:val="FF0000"/>
              </w:rPr>
              <w:t>por incidunt ut labore et dolore magna aliqua. Ut enim ad minim veniam, quis nostrum exercitationem ullamco laboriosam, nisi ut aliquid ex ea co</w:t>
            </w:r>
            <w:r w:rsidRPr="00375B00">
              <w:rPr>
                <w:color w:val="FF0000"/>
              </w:rPr>
              <w:t>m</w:t>
            </w:r>
            <w:r w:rsidRPr="00375B00">
              <w:rPr>
                <w:color w:val="FF0000"/>
              </w:rPr>
              <w:t>modi consequatur.</w:t>
            </w:r>
          </w:p>
        </w:tc>
      </w:tr>
      <w:tr w:rsidR="00E67EDB" w:rsidTr="00EF762F">
        <w:trPr>
          <w:trHeight w:val="567"/>
        </w:trPr>
        <w:tc>
          <w:tcPr>
            <w:tcW w:w="2943" w:type="dxa"/>
            <w:vAlign w:val="center"/>
          </w:tcPr>
          <w:p w:rsidR="00E67EDB" w:rsidRPr="00375B00" w:rsidRDefault="00E639BF" w:rsidP="00EF762F">
            <w:pPr>
              <w:pStyle w:val="LABELSEMPLICI"/>
              <w:rPr>
                <w:color w:val="FF0000"/>
              </w:rPr>
            </w:pPr>
            <w:r w:rsidRPr="00375B00">
              <w:rPr>
                <w:color w:val="FF0000"/>
              </w:rPr>
              <w:t>CA13</w:t>
            </w:r>
            <w:r w:rsidR="00375B00">
              <w:rPr>
                <w:color w:val="FF0000"/>
              </w:rPr>
              <w:t>*</w:t>
            </w:r>
            <w:r w:rsidRPr="00375B00">
              <w:rPr>
                <w:color w:val="FF0000"/>
              </w:rPr>
              <w:t>. presenza di infrastru</w:t>
            </w:r>
            <w:r w:rsidRPr="00375B00">
              <w:rPr>
                <w:color w:val="FF0000"/>
              </w:rPr>
              <w:t>t</w:t>
            </w:r>
            <w:r w:rsidRPr="00375B00">
              <w:rPr>
                <w:color w:val="FF0000"/>
              </w:rPr>
              <w:t>ture critiche rilevanti o strat</w:t>
            </w:r>
            <w:r w:rsidRPr="00375B00">
              <w:rPr>
                <w:color w:val="FF0000"/>
              </w:rPr>
              <w:t>e</w:t>
            </w:r>
            <w:r w:rsidRPr="00375B00">
              <w:rPr>
                <w:color w:val="FF0000"/>
              </w:rPr>
              <w:t>giche</w:t>
            </w:r>
          </w:p>
        </w:tc>
        <w:tc>
          <w:tcPr>
            <w:tcW w:w="6266" w:type="dxa"/>
            <w:shd w:val="clear" w:color="auto" w:fill="FFFFFF"/>
            <w:vAlign w:val="center"/>
          </w:tcPr>
          <w:p w:rsidR="00E67EDB" w:rsidRPr="00375B00" w:rsidRDefault="00E67EDB" w:rsidP="00EF762F">
            <w:pPr>
              <w:pStyle w:val="CAMPI"/>
              <w:jc w:val="both"/>
              <w:rPr>
                <w:color w:val="FF0000"/>
              </w:rPr>
            </w:pPr>
            <w:r w:rsidRPr="00375B00">
              <w:rPr>
                <w:color w:val="FF0000"/>
              </w:rPr>
              <w:t>Lorem ipsum dolor sit amet, consectetur adipisci elit, sed do eiusmod te</w:t>
            </w:r>
            <w:r w:rsidRPr="00375B00">
              <w:rPr>
                <w:color w:val="FF0000"/>
              </w:rPr>
              <w:t>m</w:t>
            </w:r>
            <w:r w:rsidRPr="00375B00">
              <w:rPr>
                <w:color w:val="FF0000"/>
              </w:rPr>
              <w:t>por incidunt ut labore et dolore magna aliqua. Ut enim ad minim veniam, quis nostrum exercitationem ullamco laboriosam, nisi ut aliquid ex ea co</w:t>
            </w:r>
            <w:r w:rsidRPr="00375B00">
              <w:rPr>
                <w:color w:val="FF0000"/>
              </w:rPr>
              <w:t>m</w:t>
            </w:r>
            <w:r w:rsidRPr="00375B00">
              <w:rPr>
                <w:color w:val="FF0000"/>
              </w:rPr>
              <w:t>modi consequatur.</w:t>
            </w:r>
          </w:p>
        </w:tc>
      </w:tr>
    </w:tbl>
    <w:p w:rsidR="00D2026E" w:rsidRDefault="00D2026E">
      <w:pPr>
        <w:tabs>
          <w:tab w:val="left" w:pos="4253"/>
          <w:tab w:val="left" w:pos="4962"/>
          <w:tab w:val="left" w:pos="5245"/>
        </w:tabs>
        <w:spacing w:line="276" w:lineRule="auto"/>
        <w:jc w:val="both"/>
        <w:rPr>
          <w:rFonts w:asciiTheme="majorHAnsi" w:hAnsiTheme="majorHAnsi"/>
          <w:sz w:val="20"/>
        </w:rPr>
      </w:pPr>
    </w:p>
    <w:p w:rsidR="00375B00" w:rsidRDefault="00375B00">
      <w:pPr>
        <w:tabs>
          <w:tab w:val="left" w:pos="4253"/>
          <w:tab w:val="left" w:pos="4962"/>
          <w:tab w:val="left" w:pos="5245"/>
        </w:tabs>
        <w:spacing w:line="276" w:lineRule="auto"/>
        <w:jc w:val="both"/>
        <w:rPr>
          <w:rFonts w:asciiTheme="majorHAnsi" w:hAnsiTheme="majorHAnsi"/>
          <w:sz w:val="20"/>
        </w:rPr>
      </w:pPr>
    </w:p>
    <w:p w:rsidR="00375B00" w:rsidRPr="00375B00" w:rsidRDefault="00375B00" w:rsidP="003131D2">
      <w:pPr>
        <w:tabs>
          <w:tab w:val="left" w:pos="4253"/>
          <w:tab w:val="left" w:pos="4962"/>
          <w:tab w:val="left" w:pos="5245"/>
        </w:tabs>
        <w:spacing w:line="276" w:lineRule="auto"/>
        <w:ind w:left="284" w:hanging="284"/>
        <w:jc w:val="both"/>
        <w:rPr>
          <w:rFonts w:asciiTheme="majorHAnsi" w:hAnsiTheme="majorHAnsi"/>
          <w:color w:val="FF0000"/>
          <w:sz w:val="20"/>
        </w:rPr>
      </w:pPr>
      <w:r w:rsidRPr="00375B00">
        <w:rPr>
          <w:rFonts w:asciiTheme="majorHAnsi" w:hAnsiTheme="majorHAnsi"/>
          <w:color w:val="FF0000"/>
          <w:sz w:val="20"/>
        </w:rPr>
        <w:t>* CONTRIBUTI PROVENIENTI DA ALTRI TAVOLI, CHE SARANNO I</w:t>
      </w:r>
      <w:r>
        <w:rPr>
          <w:rFonts w:asciiTheme="majorHAnsi" w:hAnsiTheme="majorHAnsi"/>
          <w:color w:val="FF0000"/>
          <w:sz w:val="20"/>
        </w:rPr>
        <w:t>NTEGRATI</w:t>
      </w:r>
      <w:r w:rsidRPr="00375B00">
        <w:rPr>
          <w:rFonts w:asciiTheme="majorHAnsi" w:hAnsiTheme="majorHAnsi"/>
          <w:color w:val="FF0000"/>
          <w:sz w:val="20"/>
        </w:rPr>
        <w:t xml:space="preserve"> IN FASE DI ASSEMBLAGGIO FINALE</w:t>
      </w:r>
      <w:r w:rsidR="003131D2">
        <w:rPr>
          <w:rFonts w:asciiTheme="majorHAnsi" w:hAnsiTheme="majorHAnsi"/>
          <w:color w:val="FF0000"/>
          <w:sz w:val="20"/>
        </w:rPr>
        <w:t>.</w:t>
      </w:r>
    </w:p>
    <w:p w:rsidR="00E639BF" w:rsidRDefault="00E639BF">
      <w:pPr>
        <w:rPr>
          <w:rFonts w:asciiTheme="majorHAnsi" w:hAnsiTheme="majorHAnsi"/>
          <w:sz w:val="20"/>
        </w:rPr>
      </w:pPr>
      <w:r>
        <w:rPr>
          <w:rFonts w:asciiTheme="majorHAnsi" w:hAnsiTheme="majorHAnsi"/>
          <w:sz w:val="20"/>
        </w:rPr>
        <w:br w:type="page"/>
      </w:r>
    </w:p>
    <w:p w:rsidR="00E639BF" w:rsidRDefault="00E639BF" w:rsidP="00E639BF">
      <w:pPr>
        <w:tabs>
          <w:tab w:val="left" w:pos="4253"/>
          <w:tab w:val="left" w:pos="4962"/>
          <w:tab w:val="left" w:pos="5245"/>
        </w:tabs>
        <w:spacing w:line="276" w:lineRule="auto"/>
        <w:jc w:val="center"/>
        <w:rPr>
          <w:rFonts w:asciiTheme="majorHAnsi" w:eastAsia="Cambria" w:hAnsiTheme="majorHAnsi"/>
          <w:b/>
          <w:bCs/>
          <w:color w:val="0F243E" w:themeColor="text2" w:themeShade="80"/>
        </w:rPr>
      </w:pPr>
      <w:r>
        <w:rPr>
          <w:rFonts w:asciiTheme="majorHAnsi" w:eastAsia="Cambria" w:hAnsiTheme="majorHAnsi"/>
          <w:b/>
          <w:bCs/>
          <w:color w:val="0F243E" w:themeColor="text2" w:themeShade="80"/>
        </w:rPr>
        <w:lastRenderedPageBreak/>
        <w:t>ELEMENTI CARTOGRAFICI DI INTERESSE</w:t>
      </w: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r>
        <w:rPr>
          <w:rFonts w:asciiTheme="majorHAnsi" w:eastAsia="Cambria" w:hAnsiTheme="majorHAnsi"/>
          <w:bCs/>
          <w:noProof/>
          <w:color w:val="0F243E" w:themeColor="text2" w:themeShade="80"/>
          <w:sz w:val="20"/>
        </w:rPr>
        <w:drawing>
          <wp:inline distT="0" distB="0" distL="0" distR="0">
            <wp:extent cx="5084449" cy="2417197"/>
            <wp:effectExtent l="19050" t="19050" r="20955" b="21590"/>
            <wp:docPr id="8" name="Immagine 8" descr="H:\Ordine dei Geologi\Geologi di Puglia\Tavolo Tematico n.2 Regione Puglia - Deposito nazionale scorie radioattive\Contributi\Ordine dei Geologi Puglia\Assetto Tettonico-Strutturale (Bruno G., 2020 inedi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rdine dei Geologi\Geologi di Puglia\Tavolo Tematico n.2 Regione Puglia - Deposito nazionale scorie radioattive\Contributi\Ordine dei Geologi Puglia\Assetto Tettonico-Strutturale (Bruno G., 2020 inedito).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84171" cy="2417065"/>
                    </a:xfrm>
                    <a:prstGeom prst="rect">
                      <a:avLst/>
                    </a:prstGeom>
                    <a:noFill/>
                    <a:ln w="12700">
                      <a:solidFill>
                        <a:schemeClr val="tx1"/>
                      </a:solidFill>
                    </a:ln>
                  </pic:spPr>
                </pic:pic>
              </a:graphicData>
            </a:graphic>
          </wp:inline>
        </w:drawing>
      </w:r>
    </w:p>
    <w:p w:rsidR="001D52AD" w:rsidRPr="001D52AD" w:rsidRDefault="001D52AD" w:rsidP="001D52AD">
      <w:pPr>
        <w:tabs>
          <w:tab w:val="left" w:pos="4253"/>
          <w:tab w:val="left" w:pos="4962"/>
          <w:tab w:val="left" w:pos="5245"/>
        </w:tabs>
        <w:spacing w:line="276" w:lineRule="auto"/>
        <w:jc w:val="both"/>
        <w:rPr>
          <w:rFonts w:ascii="Arial" w:eastAsia="Cambria" w:hAnsi="Arial" w:cs="Arial"/>
          <w:b/>
          <w:bCs/>
          <w:color w:val="0F243E" w:themeColor="text2" w:themeShade="80"/>
          <w:sz w:val="20"/>
        </w:rPr>
      </w:pPr>
      <w:r w:rsidRPr="001D52AD">
        <w:rPr>
          <w:rFonts w:ascii="Arial" w:eastAsia="Cambria" w:hAnsi="Arial" w:cs="Arial"/>
          <w:b/>
          <w:bCs/>
          <w:color w:val="0F243E" w:themeColor="text2" w:themeShade="80"/>
          <w:sz w:val="20"/>
        </w:rPr>
        <w:t xml:space="preserve">Tavola 1 </w:t>
      </w:r>
      <w:r>
        <w:rPr>
          <w:rFonts w:ascii="Arial" w:eastAsia="Cambria" w:hAnsi="Arial" w:cs="Arial"/>
          <w:b/>
          <w:bCs/>
          <w:color w:val="0F243E" w:themeColor="text2" w:themeShade="80"/>
          <w:sz w:val="20"/>
        </w:rPr>
        <w:t>–</w:t>
      </w:r>
      <w:r w:rsidR="00323914" w:rsidRPr="00323914">
        <w:rPr>
          <w:rFonts w:ascii="Arial" w:eastAsia="Cambria" w:hAnsi="Arial" w:cs="Arial"/>
          <w:b/>
          <w:bCs/>
          <w:color w:val="0F243E" w:themeColor="text2" w:themeShade="80"/>
          <w:sz w:val="20"/>
        </w:rPr>
        <w:t xml:space="preserve"> </w:t>
      </w:r>
      <w:r w:rsidR="00323914">
        <w:rPr>
          <w:rFonts w:ascii="Arial" w:eastAsia="Cambria" w:hAnsi="Arial" w:cs="Arial"/>
          <w:b/>
          <w:bCs/>
          <w:color w:val="0F243E" w:themeColor="text2" w:themeShade="80"/>
          <w:sz w:val="20"/>
        </w:rPr>
        <w:t xml:space="preserve">Principali elementi </w:t>
      </w:r>
      <w:r>
        <w:rPr>
          <w:rFonts w:ascii="Arial" w:eastAsia="Cambria" w:hAnsi="Arial" w:cs="Arial"/>
          <w:b/>
          <w:bCs/>
          <w:color w:val="0F243E" w:themeColor="text2" w:themeShade="80"/>
          <w:sz w:val="20"/>
        </w:rPr>
        <w:t>tettonico-struttural</w:t>
      </w:r>
      <w:r w:rsidR="00323914">
        <w:rPr>
          <w:rFonts w:ascii="Arial" w:eastAsia="Cambria" w:hAnsi="Arial" w:cs="Arial"/>
          <w:b/>
          <w:bCs/>
          <w:color w:val="0F243E" w:themeColor="text2" w:themeShade="80"/>
          <w:sz w:val="20"/>
        </w:rPr>
        <w:t xml:space="preserve">i </w:t>
      </w:r>
      <w:r>
        <w:rPr>
          <w:rFonts w:ascii="Arial" w:eastAsia="Cambria" w:hAnsi="Arial" w:cs="Arial"/>
          <w:b/>
          <w:bCs/>
          <w:color w:val="0F243E" w:themeColor="text2" w:themeShade="80"/>
          <w:sz w:val="20"/>
        </w:rPr>
        <w:t>dell’area murgiana (Bruno G., 2020 studio inedito nell’ambito del Progetto di ricerca MEDSAL, DICATECh - Politecnico di Bari)</w:t>
      </w: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1D52AD" w:rsidRDefault="001D52AD"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8A06DB" w:rsidRDefault="008A06DB"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8A06DB" w:rsidRDefault="00406023"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r w:rsidRPr="008A06DB">
        <w:rPr>
          <w:rFonts w:asciiTheme="majorHAnsi" w:hAnsiTheme="majorHAnsi"/>
          <w:noProof/>
          <w:sz w:val="20"/>
        </w:rPr>
        <w:drawing>
          <wp:anchor distT="0" distB="0" distL="114300" distR="114300" simplePos="0" relativeHeight="251661312" behindDoc="0" locked="0" layoutInCell="1" allowOverlap="1" wp14:anchorId="4481E5EE" wp14:editId="465EBA3F">
            <wp:simplePos x="0" y="0"/>
            <wp:positionH relativeFrom="column">
              <wp:posOffset>3655060</wp:posOffset>
            </wp:positionH>
            <wp:positionV relativeFrom="paragraph">
              <wp:posOffset>67310</wp:posOffset>
            </wp:positionV>
            <wp:extent cx="1840230" cy="2854325"/>
            <wp:effectExtent l="0" t="0" r="7620" b="3175"/>
            <wp:wrapSquare wrapText="bothSides"/>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40230" cy="2854325"/>
                    </a:xfrm>
                    <a:prstGeom prst="rect">
                      <a:avLst/>
                    </a:prstGeom>
                  </pic:spPr>
                </pic:pic>
              </a:graphicData>
            </a:graphic>
            <wp14:sizeRelH relativeFrom="margin">
              <wp14:pctWidth>0</wp14:pctWidth>
            </wp14:sizeRelH>
            <wp14:sizeRelV relativeFrom="margin">
              <wp14:pctHeight>0</wp14:pctHeight>
            </wp14:sizeRelV>
          </wp:anchor>
        </w:drawing>
      </w:r>
      <w:r w:rsidR="008A06DB" w:rsidRPr="008A06DB">
        <w:rPr>
          <w:rFonts w:asciiTheme="majorHAnsi" w:hAnsiTheme="majorHAnsi"/>
          <w:noProof/>
          <w:sz w:val="16"/>
        </w:rPr>
        <w:drawing>
          <wp:anchor distT="0" distB="0" distL="114300" distR="114300" simplePos="0" relativeHeight="251660288" behindDoc="0" locked="0" layoutInCell="1" allowOverlap="1" wp14:anchorId="47488E8C" wp14:editId="45916348">
            <wp:simplePos x="0" y="0"/>
            <wp:positionH relativeFrom="column">
              <wp:posOffset>-92710</wp:posOffset>
            </wp:positionH>
            <wp:positionV relativeFrom="paragraph">
              <wp:posOffset>63500</wp:posOffset>
            </wp:positionV>
            <wp:extent cx="3702685" cy="4842510"/>
            <wp:effectExtent l="0" t="0" r="0" b="0"/>
            <wp:wrapSquare wrapText="bothSides"/>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702685" cy="4842510"/>
                    </a:xfrm>
                    <a:prstGeom prst="rect">
                      <a:avLst/>
                    </a:prstGeom>
                  </pic:spPr>
                </pic:pic>
              </a:graphicData>
            </a:graphic>
          </wp:anchor>
        </w:drawing>
      </w:r>
    </w:p>
    <w:p w:rsidR="008A06DB" w:rsidRDefault="008A06DB"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8A06DB" w:rsidRDefault="008A06DB"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8A06DB" w:rsidRDefault="008A06DB"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8A06DB" w:rsidRDefault="008A06DB"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8A06DB" w:rsidRDefault="008A06DB"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8A06DB" w:rsidRDefault="008A06DB"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8A06DB" w:rsidRDefault="008A06DB" w:rsidP="00E639BF">
      <w:pPr>
        <w:tabs>
          <w:tab w:val="left" w:pos="4253"/>
          <w:tab w:val="left" w:pos="4962"/>
          <w:tab w:val="left" w:pos="5245"/>
        </w:tabs>
        <w:spacing w:line="276" w:lineRule="auto"/>
        <w:jc w:val="center"/>
        <w:rPr>
          <w:rFonts w:asciiTheme="majorHAnsi" w:eastAsia="Cambria" w:hAnsiTheme="majorHAnsi"/>
          <w:bCs/>
          <w:color w:val="0F243E" w:themeColor="text2" w:themeShade="80"/>
          <w:sz w:val="20"/>
        </w:rPr>
      </w:pPr>
    </w:p>
    <w:p w:rsidR="008A06DB" w:rsidRDefault="008A06DB" w:rsidP="008A06DB">
      <w:pPr>
        <w:tabs>
          <w:tab w:val="left" w:pos="4253"/>
          <w:tab w:val="left" w:pos="4962"/>
          <w:tab w:val="left" w:pos="5245"/>
        </w:tabs>
        <w:spacing w:line="276" w:lineRule="auto"/>
        <w:jc w:val="both"/>
        <w:rPr>
          <w:rFonts w:asciiTheme="majorHAnsi" w:eastAsia="Cambria" w:hAnsiTheme="majorHAnsi"/>
          <w:bCs/>
          <w:color w:val="0F243E" w:themeColor="text2" w:themeShade="80"/>
          <w:sz w:val="20"/>
        </w:rPr>
      </w:pPr>
    </w:p>
    <w:p w:rsidR="008A06DB" w:rsidRDefault="008A06DB" w:rsidP="008A06DB">
      <w:pPr>
        <w:tabs>
          <w:tab w:val="left" w:pos="4253"/>
          <w:tab w:val="left" w:pos="4962"/>
          <w:tab w:val="left" w:pos="5245"/>
        </w:tabs>
        <w:spacing w:line="276" w:lineRule="auto"/>
        <w:jc w:val="both"/>
        <w:rPr>
          <w:rFonts w:asciiTheme="majorHAnsi" w:eastAsia="Cambria" w:hAnsiTheme="majorHAnsi"/>
          <w:bCs/>
          <w:color w:val="0F243E" w:themeColor="text2" w:themeShade="80"/>
          <w:sz w:val="20"/>
        </w:rPr>
      </w:pPr>
    </w:p>
    <w:p w:rsidR="008A06DB" w:rsidRDefault="008A06DB" w:rsidP="008A06DB">
      <w:pPr>
        <w:tabs>
          <w:tab w:val="left" w:pos="4253"/>
          <w:tab w:val="left" w:pos="4962"/>
          <w:tab w:val="left" w:pos="5245"/>
        </w:tabs>
        <w:spacing w:line="276" w:lineRule="auto"/>
        <w:jc w:val="both"/>
        <w:rPr>
          <w:rFonts w:asciiTheme="majorHAnsi" w:eastAsia="Cambria" w:hAnsiTheme="majorHAnsi"/>
          <w:bCs/>
          <w:color w:val="0F243E" w:themeColor="text2" w:themeShade="80"/>
          <w:sz w:val="20"/>
        </w:rPr>
      </w:pPr>
    </w:p>
    <w:p w:rsidR="008A06DB" w:rsidRDefault="008A06DB" w:rsidP="008A06DB">
      <w:pPr>
        <w:tabs>
          <w:tab w:val="left" w:pos="4253"/>
          <w:tab w:val="left" w:pos="4962"/>
          <w:tab w:val="left" w:pos="5245"/>
        </w:tabs>
        <w:spacing w:line="276" w:lineRule="auto"/>
        <w:jc w:val="both"/>
        <w:rPr>
          <w:rFonts w:asciiTheme="majorHAnsi" w:eastAsia="Cambria" w:hAnsiTheme="majorHAnsi"/>
          <w:bCs/>
          <w:color w:val="0F243E" w:themeColor="text2" w:themeShade="80"/>
          <w:sz w:val="20"/>
        </w:rPr>
      </w:pPr>
    </w:p>
    <w:p w:rsidR="008A06DB" w:rsidRDefault="008A06DB" w:rsidP="008A06DB">
      <w:pPr>
        <w:tabs>
          <w:tab w:val="left" w:pos="4253"/>
          <w:tab w:val="left" w:pos="4962"/>
          <w:tab w:val="left" w:pos="5245"/>
        </w:tabs>
        <w:spacing w:line="276" w:lineRule="auto"/>
        <w:jc w:val="both"/>
        <w:rPr>
          <w:rFonts w:asciiTheme="majorHAnsi" w:eastAsia="Cambria" w:hAnsiTheme="majorHAnsi"/>
          <w:bCs/>
          <w:color w:val="0F243E" w:themeColor="text2" w:themeShade="80"/>
          <w:sz w:val="20"/>
        </w:rPr>
      </w:pPr>
    </w:p>
    <w:p w:rsidR="008A06DB" w:rsidRDefault="008A06DB" w:rsidP="008A06DB">
      <w:pPr>
        <w:tabs>
          <w:tab w:val="left" w:pos="4253"/>
          <w:tab w:val="left" w:pos="4962"/>
          <w:tab w:val="left" w:pos="5245"/>
        </w:tabs>
        <w:spacing w:line="276" w:lineRule="auto"/>
        <w:jc w:val="both"/>
        <w:rPr>
          <w:rFonts w:asciiTheme="majorHAnsi" w:eastAsia="Cambria" w:hAnsiTheme="majorHAnsi"/>
          <w:bCs/>
          <w:color w:val="0F243E" w:themeColor="text2" w:themeShade="80"/>
          <w:sz w:val="20"/>
        </w:rPr>
      </w:pPr>
    </w:p>
    <w:p w:rsidR="00E639BF" w:rsidRPr="008A06DB" w:rsidRDefault="00E639BF" w:rsidP="008A06DB">
      <w:pPr>
        <w:tabs>
          <w:tab w:val="left" w:pos="4253"/>
          <w:tab w:val="left" w:pos="4962"/>
          <w:tab w:val="left" w:pos="5245"/>
        </w:tabs>
        <w:spacing w:line="276" w:lineRule="auto"/>
        <w:jc w:val="both"/>
        <w:rPr>
          <w:rFonts w:asciiTheme="majorHAnsi" w:eastAsia="Cambria" w:hAnsiTheme="majorHAnsi"/>
          <w:bCs/>
          <w:color w:val="0F243E" w:themeColor="text2" w:themeShade="80"/>
          <w:sz w:val="20"/>
        </w:rPr>
      </w:pPr>
    </w:p>
    <w:p w:rsidR="00E639BF" w:rsidRDefault="00E639BF" w:rsidP="008A06DB">
      <w:pPr>
        <w:tabs>
          <w:tab w:val="left" w:pos="4253"/>
          <w:tab w:val="left" w:pos="4962"/>
          <w:tab w:val="left" w:pos="5245"/>
        </w:tabs>
        <w:spacing w:line="276" w:lineRule="auto"/>
        <w:jc w:val="both"/>
        <w:rPr>
          <w:rFonts w:asciiTheme="majorHAnsi" w:hAnsiTheme="majorHAnsi"/>
          <w:sz w:val="16"/>
        </w:rPr>
      </w:pPr>
    </w:p>
    <w:p w:rsidR="0096726C" w:rsidRDefault="0096726C" w:rsidP="008A06DB">
      <w:pPr>
        <w:tabs>
          <w:tab w:val="left" w:pos="4253"/>
          <w:tab w:val="left" w:pos="4962"/>
          <w:tab w:val="left" w:pos="5245"/>
        </w:tabs>
        <w:spacing w:line="276" w:lineRule="auto"/>
        <w:jc w:val="both"/>
        <w:rPr>
          <w:rFonts w:asciiTheme="majorHAnsi" w:hAnsiTheme="majorHAnsi"/>
          <w:sz w:val="16"/>
        </w:rPr>
      </w:pPr>
    </w:p>
    <w:p w:rsidR="0096726C" w:rsidRDefault="0096726C" w:rsidP="008A06DB">
      <w:pPr>
        <w:tabs>
          <w:tab w:val="left" w:pos="4253"/>
          <w:tab w:val="left" w:pos="4962"/>
          <w:tab w:val="left" w:pos="5245"/>
        </w:tabs>
        <w:spacing w:line="276" w:lineRule="auto"/>
        <w:jc w:val="both"/>
        <w:rPr>
          <w:rFonts w:asciiTheme="majorHAnsi" w:hAnsiTheme="majorHAnsi"/>
          <w:sz w:val="16"/>
        </w:rPr>
      </w:pPr>
    </w:p>
    <w:p w:rsidR="0096726C" w:rsidRDefault="0096726C" w:rsidP="008A06DB">
      <w:pPr>
        <w:tabs>
          <w:tab w:val="left" w:pos="4253"/>
          <w:tab w:val="left" w:pos="4962"/>
          <w:tab w:val="left" w:pos="5245"/>
        </w:tabs>
        <w:spacing w:line="276" w:lineRule="auto"/>
        <w:jc w:val="both"/>
        <w:rPr>
          <w:rFonts w:asciiTheme="majorHAnsi" w:hAnsiTheme="majorHAnsi"/>
          <w:sz w:val="16"/>
        </w:rPr>
      </w:pPr>
    </w:p>
    <w:p w:rsidR="0096726C" w:rsidRDefault="0096726C" w:rsidP="008A06DB">
      <w:pPr>
        <w:tabs>
          <w:tab w:val="left" w:pos="4253"/>
          <w:tab w:val="left" w:pos="4962"/>
          <w:tab w:val="left" w:pos="5245"/>
        </w:tabs>
        <w:spacing w:line="276" w:lineRule="auto"/>
        <w:jc w:val="both"/>
        <w:rPr>
          <w:rFonts w:asciiTheme="majorHAnsi" w:hAnsiTheme="majorHAnsi"/>
          <w:sz w:val="16"/>
        </w:rPr>
      </w:pPr>
    </w:p>
    <w:p w:rsidR="0096726C" w:rsidRDefault="0096726C" w:rsidP="008A06DB">
      <w:pPr>
        <w:tabs>
          <w:tab w:val="left" w:pos="4253"/>
          <w:tab w:val="left" w:pos="4962"/>
          <w:tab w:val="left" w:pos="5245"/>
        </w:tabs>
        <w:spacing w:line="276" w:lineRule="auto"/>
        <w:jc w:val="both"/>
        <w:rPr>
          <w:rFonts w:asciiTheme="majorHAnsi" w:hAnsiTheme="majorHAnsi"/>
          <w:sz w:val="16"/>
        </w:rPr>
      </w:pPr>
    </w:p>
    <w:p w:rsidR="0096726C" w:rsidRDefault="0096726C" w:rsidP="008A06DB">
      <w:pPr>
        <w:tabs>
          <w:tab w:val="left" w:pos="4253"/>
          <w:tab w:val="left" w:pos="4962"/>
          <w:tab w:val="left" w:pos="5245"/>
        </w:tabs>
        <w:spacing w:line="276" w:lineRule="auto"/>
        <w:jc w:val="both"/>
        <w:rPr>
          <w:rFonts w:asciiTheme="majorHAnsi" w:hAnsiTheme="majorHAnsi"/>
          <w:sz w:val="16"/>
        </w:rPr>
      </w:pPr>
    </w:p>
    <w:p w:rsidR="0096726C" w:rsidRDefault="0096726C" w:rsidP="008A06DB">
      <w:pPr>
        <w:tabs>
          <w:tab w:val="left" w:pos="4253"/>
          <w:tab w:val="left" w:pos="4962"/>
          <w:tab w:val="left" w:pos="5245"/>
        </w:tabs>
        <w:spacing w:line="276" w:lineRule="auto"/>
        <w:jc w:val="both"/>
        <w:rPr>
          <w:rFonts w:asciiTheme="majorHAnsi" w:hAnsiTheme="majorHAnsi"/>
          <w:sz w:val="16"/>
        </w:rPr>
      </w:pPr>
    </w:p>
    <w:p w:rsidR="0096726C" w:rsidRDefault="0096726C" w:rsidP="008A06DB">
      <w:pPr>
        <w:tabs>
          <w:tab w:val="left" w:pos="4253"/>
          <w:tab w:val="left" w:pos="4962"/>
          <w:tab w:val="left" w:pos="5245"/>
        </w:tabs>
        <w:spacing w:line="276" w:lineRule="auto"/>
        <w:jc w:val="both"/>
        <w:rPr>
          <w:rFonts w:asciiTheme="majorHAnsi" w:hAnsiTheme="majorHAnsi"/>
          <w:sz w:val="16"/>
        </w:rPr>
      </w:pPr>
    </w:p>
    <w:p w:rsidR="0096726C" w:rsidRDefault="0096726C" w:rsidP="008A06DB">
      <w:pPr>
        <w:tabs>
          <w:tab w:val="left" w:pos="4253"/>
          <w:tab w:val="left" w:pos="4962"/>
          <w:tab w:val="left" w:pos="5245"/>
        </w:tabs>
        <w:spacing w:line="276" w:lineRule="auto"/>
        <w:jc w:val="both"/>
        <w:rPr>
          <w:rFonts w:asciiTheme="majorHAnsi" w:hAnsiTheme="majorHAnsi"/>
          <w:sz w:val="16"/>
        </w:rPr>
      </w:pPr>
    </w:p>
    <w:p w:rsidR="0096726C" w:rsidRDefault="0096726C" w:rsidP="008A06DB">
      <w:pPr>
        <w:tabs>
          <w:tab w:val="left" w:pos="4253"/>
          <w:tab w:val="left" w:pos="4962"/>
          <w:tab w:val="left" w:pos="5245"/>
        </w:tabs>
        <w:spacing w:line="276" w:lineRule="auto"/>
        <w:jc w:val="both"/>
        <w:rPr>
          <w:rFonts w:asciiTheme="majorHAnsi" w:hAnsiTheme="majorHAnsi"/>
          <w:sz w:val="16"/>
        </w:rPr>
      </w:pPr>
    </w:p>
    <w:p w:rsidR="0096726C" w:rsidRDefault="0096726C" w:rsidP="008A06DB">
      <w:pPr>
        <w:tabs>
          <w:tab w:val="left" w:pos="4253"/>
          <w:tab w:val="left" w:pos="4962"/>
          <w:tab w:val="left" w:pos="5245"/>
        </w:tabs>
        <w:spacing w:line="276" w:lineRule="auto"/>
        <w:jc w:val="both"/>
        <w:rPr>
          <w:rFonts w:asciiTheme="majorHAnsi" w:hAnsiTheme="majorHAnsi"/>
          <w:sz w:val="16"/>
        </w:rPr>
      </w:pPr>
    </w:p>
    <w:p w:rsidR="0096726C" w:rsidRDefault="0096726C" w:rsidP="008A06DB">
      <w:pPr>
        <w:tabs>
          <w:tab w:val="left" w:pos="4253"/>
          <w:tab w:val="left" w:pos="4962"/>
          <w:tab w:val="left" w:pos="5245"/>
        </w:tabs>
        <w:spacing w:line="276" w:lineRule="auto"/>
        <w:jc w:val="both"/>
        <w:rPr>
          <w:rFonts w:asciiTheme="majorHAnsi" w:hAnsiTheme="majorHAnsi"/>
          <w:sz w:val="16"/>
        </w:rPr>
      </w:pPr>
    </w:p>
    <w:p w:rsidR="0096726C" w:rsidRDefault="0096726C" w:rsidP="008A06DB">
      <w:pPr>
        <w:tabs>
          <w:tab w:val="left" w:pos="4253"/>
          <w:tab w:val="left" w:pos="4962"/>
          <w:tab w:val="left" w:pos="5245"/>
        </w:tabs>
        <w:spacing w:line="276" w:lineRule="auto"/>
        <w:jc w:val="both"/>
        <w:rPr>
          <w:rFonts w:asciiTheme="majorHAnsi" w:hAnsiTheme="majorHAnsi"/>
          <w:sz w:val="16"/>
        </w:rPr>
      </w:pPr>
    </w:p>
    <w:p w:rsidR="0096726C" w:rsidRDefault="0096726C" w:rsidP="008A06DB">
      <w:pPr>
        <w:tabs>
          <w:tab w:val="left" w:pos="4253"/>
          <w:tab w:val="left" w:pos="4962"/>
          <w:tab w:val="left" w:pos="5245"/>
        </w:tabs>
        <w:spacing w:line="276" w:lineRule="auto"/>
        <w:jc w:val="both"/>
        <w:rPr>
          <w:rFonts w:asciiTheme="majorHAnsi" w:hAnsiTheme="majorHAnsi"/>
          <w:sz w:val="16"/>
        </w:rPr>
      </w:pPr>
    </w:p>
    <w:p w:rsidR="0096726C" w:rsidRDefault="0096726C" w:rsidP="008A06DB">
      <w:pPr>
        <w:tabs>
          <w:tab w:val="left" w:pos="4253"/>
          <w:tab w:val="left" w:pos="4962"/>
          <w:tab w:val="left" w:pos="5245"/>
        </w:tabs>
        <w:spacing w:line="276" w:lineRule="auto"/>
        <w:jc w:val="both"/>
        <w:rPr>
          <w:rFonts w:asciiTheme="majorHAnsi" w:hAnsiTheme="majorHAnsi"/>
          <w:sz w:val="16"/>
        </w:rPr>
      </w:pPr>
    </w:p>
    <w:p w:rsidR="0096726C" w:rsidRDefault="0096726C" w:rsidP="008A06DB">
      <w:pPr>
        <w:tabs>
          <w:tab w:val="left" w:pos="4253"/>
          <w:tab w:val="left" w:pos="4962"/>
          <w:tab w:val="left" w:pos="5245"/>
        </w:tabs>
        <w:spacing w:line="276" w:lineRule="auto"/>
        <w:jc w:val="both"/>
        <w:rPr>
          <w:rFonts w:asciiTheme="majorHAnsi" w:hAnsiTheme="majorHAnsi"/>
          <w:sz w:val="16"/>
        </w:rPr>
      </w:pPr>
    </w:p>
    <w:p w:rsidR="0096726C" w:rsidRDefault="0096726C" w:rsidP="00406023">
      <w:pPr>
        <w:tabs>
          <w:tab w:val="left" w:pos="4253"/>
          <w:tab w:val="left" w:pos="4962"/>
          <w:tab w:val="left" w:pos="5245"/>
        </w:tabs>
        <w:spacing w:line="276" w:lineRule="auto"/>
        <w:rPr>
          <w:rFonts w:asciiTheme="majorHAnsi" w:hAnsiTheme="majorHAnsi"/>
          <w:sz w:val="16"/>
        </w:rPr>
      </w:pPr>
    </w:p>
    <w:p w:rsidR="00406023" w:rsidRDefault="00406023" w:rsidP="0096726C">
      <w:pPr>
        <w:suppressAutoHyphens w:val="0"/>
        <w:jc w:val="both"/>
        <w:rPr>
          <w:rFonts w:eastAsia="Calibri"/>
          <w:b/>
          <w:smallCaps/>
          <w:lang w:eastAsia="en-US"/>
        </w:rPr>
      </w:pPr>
    </w:p>
    <w:p w:rsidR="00406023" w:rsidRDefault="00406023" w:rsidP="0096726C">
      <w:pPr>
        <w:suppressAutoHyphens w:val="0"/>
        <w:jc w:val="both"/>
        <w:rPr>
          <w:rFonts w:eastAsia="Calibri"/>
          <w:b/>
          <w:smallCaps/>
          <w:lang w:eastAsia="en-US"/>
        </w:rPr>
      </w:pPr>
    </w:p>
    <w:p w:rsidR="00406023" w:rsidRDefault="00406023" w:rsidP="0096726C">
      <w:pPr>
        <w:suppressAutoHyphens w:val="0"/>
        <w:jc w:val="both"/>
        <w:rPr>
          <w:rFonts w:eastAsia="Calibri"/>
          <w:b/>
          <w:smallCaps/>
          <w:lang w:eastAsia="en-US"/>
        </w:rPr>
      </w:pPr>
    </w:p>
    <w:p w:rsidR="00406023" w:rsidRDefault="00406023" w:rsidP="0096726C">
      <w:pPr>
        <w:suppressAutoHyphens w:val="0"/>
        <w:jc w:val="both"/>
        <w:rPr>
          <w:rFonts w:eastAsia="Calibri"/>
          <w:b/>
          <w:smallCaps/>
          <w:lang w:eastAsia="en-US"/>
        </w:rPr>
      </w:pPr>
    </w:p>
    <w:p w:rsidR="00406023" w:rsidRDefault="00406023" w:rsidP="0096726C">
      <w:pPr>
        <w:suppressAutoHyphens w:val="0"/>
        <w:jc w:val="both"/>
        <w:rPr>
          <w:rFonts w:eastAsia="Calibri"/>
          <w:b/>
          <w:smallCaps/>
          <w:lang w:eastAsia="en-US"/>
        </w:rPr>
      </w:pPr>
    </w:p>
    <w:p w:rsidR="00406023" w:rsidRDefault="00406023" w:rsidP="0096726C">
      <w:pPr>
        <w:suppressAutoHyphens w:val="0"/>
        <w:jc w:val="both"/>
        <w:rPr>
          <w:rFonts w:eastAsia="Calibri"/>
          <w:b/>
          <w:smallCaps/>
          <w:lang w:eastAsia="en-US"/>
        </w:rPr>
      </w:pPr>
    </w:p>
    <w:p w:rsidR="00406023" w:rsidRDefault="00406023" w:rsidP="0096726C">
      <w:pPr>
        <w:suppressAutoHyphens w:val="0"/>
        <w:jc w:val="both"/>
        <w:rPr>
          <w:rFonts w:eastAsia="Calibri"/>
          <w:b/>
          <w:smallCaps/>
          <w:lang w:eastAsia="en-US"/>
        </w:rPr>
      </w:pPr>
    </w:p>
    <w:p w:rsidR="00406023" w:rsidRDefault="00406023" w:rsidP="0096726C">
      <w:pPr>
        <w:suppressAutoHyphens w:val="0"/>
        <w:jc w:val="both"/>
        <w:rPr>
          <w:rFonts w:eastAsia="Calibri"/>
          <w:b/>
          <w:smallCaps/>
          <w:lang w:eastAsia="en-US"/>
        </w:rPr>
      </w:pPr>
    </w:p>
    <w:p w:rsidR="00406023" w:rsidRDefault="00406023" w:rsidP="0096726C">
      <w:pPr>
        <w:suppressAutoHyphens w:val="0"/>
        <w:jc w:val="both"/>
        <w:rPr>
          <w:rFonts w:eastAsia="Calibri"/>
          <w:b/>
          <w:smallCaps/>
          <w:lang w:eastAsia="en-US"/>
        </w:rPr>
      </w:pPr>
    </w:p>
    <w:p w:rsidR="00406023" w:rsidRDefault="00406023" w:rsidP="0096726C">
      <w:pPr>
        <w:suppressAutoHyphens w:val="0"/>
        <w:jc w:val="both"/>
        <w:rPr>
          <w:rFonts w:eastAsia="Calibri"/>
          <w:b/>
          <w:smallCaps/>
          <w:lang w:eastAsia="en-US"/>
        </w:rPr>
      </w:pPr>
    </w:p>
    <w:p w:rsidR="00406023" w:rsidRDefault="00406023" w:rsidP="0096726C">
      <w:pPr>
        <w:suppressAutoHyphens w:val="0"/>
        <w:jc w:val="both"/>
        <w:rPr>
          <w:rFonts w:eastAsia="Calibri"/>
          <w:b/>
          <w:smallCaps/>
          <w:lang w:eastAsia="en-US"/>
        </w:rPr>
      </w:pPr>
    </w:p>
    <w:p w:rsidR="00406023" w:rsidRDefault="00406023" w:rsidP="0096726C">
      <w:pPr>
        <w:suppressAutoHyphens w:val="0"/>
        <w:jc w:val="both"/>
        <w:rPr>
          <w:rFonts w:eastAsia="Calibri"/>
          <w:b/>
          <w:smallCaps/>
          <w:lang w:eastAsia="en-US"/>
        </w:rPr>
      </w:pPr>
    </w:p>
    <w:p w:rsidR="00406023" w:rsidRDefault="00406023" w:rsidP="0096726C">
      <w:pPr>
        <w:suppressAutoHyphens w:val="0"/>
        <w:jc w:val="both"/>
        <w:rPr>
          <w:rFonts w:eastAsia="Calibri"/>
          <w:b/>
          <w:smallCaps/>
          <w:lang w:eastAsia="en-US"/>
        </w:rPr>
      </w:pPr>
    </w:p>
    <w:p w:rsidR="00406023" w:rsidRDefault="00406023" w:rsidP="0096726C">
      <w:pPr>
        <w:suppressAutoHyphens w:val="0"/>
        <w:jc w:val="both"/>
        <w:rPr>
          <w:rFonts w:eastAsia="Calibri"/>
          <w:b/>
          <w:smallCaps/>
          <w:lang w:eastAsia="en-US"/>
        </w:rPr>
      </w:pPr>
    </w:p>
    <w:p w:rsidR="00406023" w:rsidRDefault="00406023" w:rsidP="0096726C">
      <w:pPr>
        <w:suppressAutoHyphens w:val="0"/>
        <w:jc w:val="both"/>
        <w:rPr>
          <w:rFonts w:eastAsia="Calibri"/>
          <w:b/>
          <w:smallCaps/>
          <w:lang w:eastAsia="en-US"/>
        </w:rPr>
      </w:pPr>
    </w:p>
    <w:p w:rsidR="00406023" w:rsidRDefault="00406023" w:rsidP="0096726C">
      <w:pPr>
        <w:suppressAutoHyphens w:val="0"/>
        <w:jc w:val="both"/>
        <w:rPr>
          <w:rFonts w:eastAsia="Calibri"/>
          <w:b/>
          <w:smallCaps/>
          <w:lang w:eastAsia="en-US"/>
        </w:rPr>
      </w:pPr>
    </w:p>
    <w:p w:rsidR="00406023" w:rsidRDefault="00406023" w:rsidP="0096726C">
      <w:pPr>
        <w:suppressAutoHyphens w:val="0"/>
        <w:jc w:val="both"/>
        <w:rPr>
          <w:rFonts w:eastAsia="Calibri"/>
          <w:b/>
          <w:smallCaps/>
          <w:lang w:eastAsia="en-US"/>
        </w:rPr>
      </w:pPr>
    </w:p>
    <w:p w:rsidR="00406023" w:rsidRDefault="00406023" w:rsidP="0096726C">
      <w:pPr>
        <w:suppressAutoHyphens w:val="0"/>
        <w:jc w:val="both"/>
        <w:rPr>
          <w:rFonts w:eastAsia="Calibri"/>
          <w:b/>
          <w:smallCaps/>
          <w:lang w:eastAsia="en-US"/>
        </w:rPr>
      </w:pPr>
    </w:p>
    <w:p w:rsidR="0096726C" w:rsidRPr="0096726C" w:rsidRDefault="0096726C" w:rsidP="0096726C">
      <w:pPr>
        <w:suppressAutoHyphens w:val="0"/>
        <w:jc w:val="both"/>
        <w:rPr>
          <w:rFonts w:eastAsia="Calibri"/>
          <w:b/>
          <w:smallCaps/>
          <w:lang w:eastAsia="en-US"/>
        </w:rPr>
      </w:pPr>
      <w:r w:rsidRPr="0096726C">
        <w:rPr>
          <w:rFonts w:eastAsia="Calibri"/>
          <w:b/>
          <w:smallCaps/>
          <w:lang w:eastAsia="en-US"/>
        </w:rPr>
        <w:t>bibliografia di riferimento</w:t>
      </w:r>
    </w:p>
    <w:p w:rsidR="0096726C" w:rsidRPr="0096726C" w:rsidRDefault="0096726C" w:rsidP="0096726C">
      <w:pPr>
        <w:suppressAutoHyphens w:val="0"/>
        <w:jc w:val="both"/>
        <w:rPr>
          <w:rFonts w:eastAsia="Calibri"/>
          <w:lang w:eastAsia="en-US"/>
        </w:rPr>
      </w:pPr>
    </w:p>
    <w:p w:rsidR="0096726C" w:rsidRPr="0096726C" w:rsidRDefault="0096726C" w:rsidP="0096726C">
      <w:pPr>
        <w:suppressAutoHyphens w:val="0"/>
        <w:spacing w:line="276" w:lineRule="auto"/>
        <w:jc w:val="both"/>
        <w:rPr>
          <w:rFonts w:eastAsia="Calibri"/>
          <w:b/>
          <w:lang w:eastAsia="en-US"/>
        </w:rPr>
      </w:pPr>
      <w:r w:rsidRPr="0096726C">
        <w:rPr>
          <w:rFonts w:eastAsia="Calibri"/>
          <w:b/>
          <w:lang w:eastAsia="en-US"/>
        </w:rPr>
        <w:t>Tettonica e Sismicità</w:t>
      </w:r>
    </w:p>
    <w:p w:rsidR="0096726C" w:rsidRPr="0096726C" w:rsidRDefault="0096726C" w:rsidP="0096726C">
      <w:pPr>
        <w:suppressAutoHyphens w:val="0"/>
        <w:spacing w:after="120" w:line="280" w:lineRule="atLeast"/>
        <w:jc w:val="both"/>
        <w:outlineLvl w:val="2"/>
        <w:rPr>
          <w:rFonts w:eastAsia="Calibri"/>
          <w:lang w:val="en-GB" w:eastAsia="en-US"/>
        </w:rPr>
      </w:pPr>
      <w:r w:rsidRPr="0096726C">
        <w:rPr>
          <w:rFonts w:eastAsia="Calibri"/>
          <w:lang w:eastAsia="en-US"/>
        </w:rPr>
        <w:t xml:space="preserve">Argnani A.,  Frugoni F., Cosi R., Ligi M.  </w:t>
      </w:r>
      <w:r w:rsidRPr="0096726C">
        <w:rPr>
          <w:rFonts w:eastAsia="Calibri"/>
          <w:lang w:val="en-GB" w:eastAsia="en-US"/>
        </w:rPr>
        <w:t xml:space="preserve">and Favalli P. 2001 - Tectonics and seismicity of the Apulian Ridge south of Salento peninsula (Southern Italy).  Annali di Geofisica, vol. 44, n. 3 </w:t>
      </w:r>
    </w:p>
    <w:p w:rsidR="0096726C" w:rsidRPr="0096726C" w:rsidRDefault="0096726C" w:rsidP="0096726C">
      <w:pPr>
        <w:suppressAutoHyphens w:val="0"/>
        <w:spacing w:after="120" w:line="280" w:lineRule="atLeast"/>
        <w:jc w:val="both"/>
        <w:outlineLvl w:val="2"/>
        <w:rPr>
          <w:rFonts w:eastAsia="Calibri"/>
          <w:lang w:val="en-GB" w:eastAsia="en-US"/>
        </w:rPr>
      </w:pPr>
      <w:r w:rsidRPr="0096726C">
        <w:rPr>
          <w:rFonts w:eastAsia="Calibri"/>
          <w:lang w:val="en-GB" w:eastAsia="en-US"/>
        </w:rPr>
        <w:t>Belluomini G., Caldara M., Casini C., Cerasoli M., Manfra L., Mastronuzzi G., Palmentola G., Sanso P., Tuccimei P., Vesica P.L. 2002 - The age of Late Pleistocene shorelines and tectonic activity of Taranto area, Southern Italy. Quaternary Science Reviews, 21, 525-547</w:t>
      </w:r>
    </w:p>
    <w:p w:rsidR="0096726C" w:rsidRPr="0096726C" w:rsidRDefault="0096726C" w:rsidP="0096726C">
      <w:pPr>
        <w:suppressAutoHyphens w:val="0"/>
        <w:spacing w:after="120" w:line="280" w:lineRule="atLeast"/>
        <w:jc w:val="both"/>
        <w:outlineLvl w:val="2"/>
        <w:rPr>
          <w:rFonts w:eastAsia="Calibri"/>
          <w:lang w:val="en-GB" w:eastAsia="en-US"/>
        </w:rPr>
      </w:pPr>
      <w:r w:rsidRPr="0096726C">
        <w:rPr>
          <w:rFonts w:eastAsia="Calibri"/>
          <w:lang w:val="en-GB" w:eastAsia="en-US"/>
        </w:rPr>
        <w:t>Bertotti, G., Picotti, V., Chilovi, C., Fantoni, R., Merlini, S., Mosconi, A. 2001 - Neogene to Quaternary sedimentary basins in the south Adriatic (Central Mediterranean): foredeeps and lithospheric buckling. Tectonics, 20, 771-787</w:t>
      </w:r>
    </w:p>
    <w:p w:rsidR="0096726C" w:rsidRPr="0096726C" w:rsidRDefault="0096726C" w:rsidP="0096726C">
      <w:pPr>
        <w:suppressAutoHyphens w:val="0"/>
        <w:spacing w:after="120" w:line="280" w:lineRule="atLeast"/>
        <w:jc w:val="both"/>
        <w:outlineLvl w:val="2"/>
        <w:rPr>
          <w:rFonts w:eastAsia="Calibri"/>
          <w:lang w:val="en-GB" w:eastAsia="en-US"/>
        </w:rPr>
      </w:pPr>
      <w:r w:rsidRPr="0096726C">
        <w:rPr>
          <w:rFonts w:eastAsia="Calibri"/>
          <w:lang w:val="en-GB" w:eastAsia="en-US"/>
        </w:rPr>
        <w:t>Boncio, P., Mancini, T., Lavecchia, G., Selvaggi, G. 2007 - Seismotectonics of strike–slip earthquakes within the deep crust of Southern Italy: geometry, kinematics, stress field and crustal rheology of the Potenza 1990-1991 seismic sequences (Mmax 5.7). Tectonophysics, 445, 281–300</w:t>
      </w:r>
    </w:p>
    <w:p w:rsidR="0096726C" w:rsidRPr="0096726C" w:rsidRDefault="0096726C" w:rsidP="0096726C">
      <w:pPr>
        <w:suppressAutoHyphens w:val="0"/>
        <w:spacing w:after="120" w:line="280" w:lineRule="atLeast"/>
        <w:jc w:val="both"/>
        <w:outlineLvl w:val="2"/>
        <w:rPr>
          <w:rFonts w:eastAsia="Calibri"/>
          <w:lang w:val="en-GB" w:eastAsia="en-US"/>
        </w:rPr>
      </w:pPr>
      <w:r w:rsidRPr="0096726C">
        <w:rPr>
          <w:rFonts w:eastAsia="Calibri"/>
          <w:lang w:val="en-GB" w:eastAsia="en-US"/>
        </w:rPr>
        <w:t>Bonini, M., Sani, F., 2000a - Pliocene-Quaternary transpressional evolution of the Anzi-Calvello and Northern S. Arcangelo basins (Basilicata, Southern Apennines, Italy) as a consequence of deep-seated fault reactivation. Marine Petroleum Geol., 17, 909–927</w:t>
      </w:r>
    </w:p>
    <w:p w:rsidR="0096726C" w:rsidRPr="0096726C" w:rsidRDefault="0096726C" w:rsidP="0096726C">
      <w:pPr>
        <w:suppressAutoHyphens w:val="0"/>
        <w:spacing w:after="120" w:line="280" w:lineRule="atLeast"/>
        <w:jc w:val="both"/>
        <w:outlineLvl w:val="2"/>
        <w:rPr>
          <w:rFonts w:eastAsia="Calibri"/>
          <w:lang w:val="en-GB" w:eastAsia="en-US"/>
        </w:rPr>
      </w:pPr>
      <w:r w:rsidRPr="0096726C">
        <w:rPr>
          <w:rFonts w:eastAsia="Calibri"/>
          <w:lang w:val="en-GB" w:eastAsia="en-US"/>
        </w:rPr>
        <w:t>Bonini M. Sani F., Moratti G., Benvenuti M.G. 2011 - Quaternary evolution of the Lucania Apennine thrust front area (Southern Italy) and its relations with the kinematics of the Adria Plate boundaries. Journal of Geodynamics, 51, 125-140</w:t>
      </w:r>
    </w:p>
    <w:p w:rsidR="0096726C" w:rsidRDefault="0096726C" w:rsidP="0096726C">
      <w:pPr>
        <w:suppressAutoHyphens w:val="0"/>
        <w:spacing w:after="120" w:line="280" w:lineRule="atLeast"/>
        <w:jc w:val="both"/>
        <w:outlineLvl w:val="2"/>
        <w:rPr>
          <w:rFonts w:eastAsia="Calibri"/>
          <w:lang w:eastAsia="en-US"/>
        </w:rPr>
      </w:pPr>
      <w:r w:rsidRPr="0096726C">
        <w:rPr>
          <w:rFonts w:eastAsia="Calibri"/>
          <w:lang w:val="en-GB" w:eastAsia="en-US"/>
        </w:rPr>
        <w:t>Brankmann C. M., Aydin A. 2004 - Uplift and contractional deformation along a segmen</w:t>
      </w:r>
      <w:r w:rsidRPr="0096726C">
        <w:rPr>
          <w:rFonts w:eastAsia="Calibri"/>
          <w:lang w:val="en-GB" w:eastAsia="en-US"/>
        </w:rPr>
        <w:t>t</w:t>
      </w:r>
      <w:r w:rsidRPr="0096726C">
        <w:rPr>
          <w:rFonts w:eastAsia="Calibri"/>
          <w:lang w:val="en-GB" w:eastAsia="en-US"/>
        </w:rPr>
        <w:t xml:space="preserve">ed strike-slip fault system the Gargano Promontory, southern Italy. </w:t>
      </w:r>
      <w:r w:rsidRPr="0096726C">
        <w:rPr>
          <w:rFonts w:eastAsia="Calibri"/>
          <w:lang w:eastAsia="en-US"/>
        </w:rPr>
        <w:t>J. Struct. Geol., 26, 807-</w:t>
      </w:r>
      <w:r w:rsidRPr="0096726C">
        <w:rPr>
          <w:rFonts w:eastAsia="Calibri"/>
          <w:lang w:eastAsia="en-US"/>
        </w:rPr>
        <w:lastRenderedPageBreak/>
        <w:t>824</w:t>
      </w:r>
    </w:p>
    <w:p w:rsidR="00764E45" w:rsidRPr="00764E45" w:rsidRDefault="00764E45" w:rsidP="00764E45">
      <w:pPr>
        <w:suppressAutoHyphens w:val="0"/>
        <w:spacing w:after="120" w:line="280" w:lineRule="atLeast"/>
        <w:jc w:val="both"/>
        <w:outlineLvl w:val="2"/>
        <w:rPr>
          <w:rFonts w:eastAsia="Calibri"/>
          <w:bCs/>
          <w:lang w:eastAsia="en-US"/>
        </w:rPr>
      </w:pPr>
      <w:r w:rsidRPr="00764E45">
        <w:rPr>
          <w:rFonts w:eastAsia="Calibri"/>
          <w:bCs/>
          <w:lang w:eastAsia="en-US"/>
        </w:rPr>
        <w:t>Bruno, G.</w:t>
      </w:r>
      <w:r>
        <w:rPr>
          <w:rFonts w:eastAsia="Calibri"/>
          <w:bCs/>
          <w:lang w:eastAsia="en-US"/>
        </w:rPr>
        <w:t>,</w:t>
      </w:r>
      <w:r w:rsidRPr="00764E45">
        <w:rPr>
          <w:rFonts w:eastAsia="Calibri"/>
          <w:bCs/>
          <w:lang w:eastAsia="en-US"/>
        </w:rPr>
        <w:t xml:space="preserve"> Pagliarulo</w:t>
      </w:r>
      <w:r>
        <w:rPr>
          <w:rFonts w:eastAsia="Calibri"/>
          <w:bCs/>
          <w:lang w:eastAsia="en-US"/>
        </w:rPr>
        <w:t>,</w:t>
      </w:r>
      <w:r w:rsidRPr="00764E45">
        <w:rPr>
          <w:rFonts w:eastAsia="Calibri"/>
          <w:bCs/>
          <w:lang w:eastAsia="en-US"/>
        </w:rPr>
        <w:t xml:space="preserve"> R. (1991): "</w:t>
      </w:r>
      <w:r w:rsidR="00207C91">
        <w:rPr>
          <w:rFonts w:eastAsia="Calibri"/>
          <w:bCs/>
          <w:lang w:eastAsia="en-US"/>
        </w:rPr>
        <w:t>I</w:t>
      </w:r>
      <w:r w:rsidRPr="00764E45">
        <w:rPr>
          <w:rFonts w:eastAsia="Calibri"/>
          <w:bCs/>
          <w:lang w:eastAsia="en-US"/>
        </w:rPr>
        <w:t xml:space="preserve">l controllo  tettonico  sulla genesi e conservazione dell'equilibrio carsico ipogeo delle </w:t>
      </w:r>
      <w:r w:rsidR="00207C91">
        <w:rPr>
          <w:rFonts w:eastAsia="Calibri"/>
          <w:bCs/>
          <w:lang w:eastAsia="en-US"/>
        </w:rPr>
        <w:t>G</w:t>
      </w:r>
      <w:r w:rsidRPr="00764E45">
        <w:rPr>
          <w:rFonts w:eastAsia="Calibri"/>
          <w:bCs/>
          <w:lang w:eastAsia="en-US"/>
        </w:rPr>
        <w:t xml:space="preserve">rotte di </w:t>
      </w:r>
      <w:r w:rsidR="00207C91">
        <w:rPr>
          <w:rFonts w:eastAsia="Calibri"/>
          <w:bCs/>
          <w:lang w:eastAsia="en-US"/>
        </w:rPr>
        <w:t>C</w:t>
      </w:r>
      <w:r w:rsidRPr="00764E45">
        <w:rPr>
          <w:rFonts w:eastAsia="Calibri"/>
          <w:bCs/>
          <w:lang w:eastAsia="en-US"/>
        </w:rPr>
        <w:t>astellana  (</w:t>
      </w:r>
      <w:r w:rsidR="00207C91">
        <w:rPr>
          <w:rFonts w:eastAsia="Calibri"/>
          <w:bCs/>
          <w:lang w:eastAsia="en-US"/>
        </w:rPr>
        <w:t>P</w:t>
      </w:r>
      <w:r w:rsidRPr="00764E45">
        <w:rPr>
          <w:rFonts w:eastAsia="Calibri"/>
          <w:bCs/>
          <w:lang w:eastAsia="en-US"/>
        </w:rPr>
        <w:t>uglia)", Atti del I°  Conv.  Naz.  dei  Giov.  Ricer.  in Geologia Applicata, Gargnano (BS</w:t>
      </w:r>
      <w:r>
        <w:rPr>
          <w:rFonts w:eastAsia="Calibri"/>
          <w:bCs/>
          <w:lang w:eastAsia="en-US"/>
        </w:rPr>
        <w:t>)</w:t>
      </w:r>
    </w:p>
    <w:p w:rsidR="00764E45" w:rsidRPr="00764E45" w:rsidRDefault="00764E45" w:rsidP="00764E45">
      <w:pPr>
        <w:suppressAutoHyphens w:val="0"/>
        <w:spacing w:after="120" w:line="280" w:lineRule="atLeast"/>
        <w:jc w:val="both"/>
        <w:outlineLvl w:val="2"/>
        <w:rPr>
          <w:rFonts w:eastAsia="Calibri"/>
          <w:bCs/>
          <w:lang w:eastAsia="en-US"/>
        </w:rPr>
      </w:pPr>
      <w:r w:rsidRPr="00764E45">
        <w:rPr>
          <w:rFonts w:eastAsia="Calibri"/>
          <w:bCs/>
          <w:lang w:eastAsia="en-US"/>
        </w:rPr>
        <w:t>Bruno, G., Soldani</w:t>
      </w:r>
      <w:r>
        <w:rPr>
          <w:rFonts w:eastAsia="Calibri"/>
          <w:bCs/>
          <w:lang w:eastAsia="en-US"/>
        </w:rPr>
        <w:t>,</w:t>
      </w:r>
      <w:r w:rsidRPr="00764E45">
        <w:rPr>
          <w:rFonts w:eastAsia="Calibri"/>
          <w:bCs/>
          <w:lang w:eastAsia="en-US"/>
        </w:rPr>
        <w:t xml:space="preserve"> S. (1991):  "</w:t>
      </w:r>
      <w:r w:rsidR="00207C91">
        <w:rPr>
          <w:rFonts w:eastAsia="Calibri"/>
          <w:bCs/>
          <w:lang w:eastAsia="en-US"/>
        </w:rPr>
        <w:t>I</w:t>
      </w:r>
      <w:r w:rsidRPr="00764E45">
        <w:rPr>
          <w:rFonts w:eastAsia="Calibri"/>
          <w:bCs/>
          <w:lang w:eastAsia="en-US"/>
        </w:rPr>
        <w:t>nfluenza dell'assetto tettonico -  strutturale   sulla   circol</w:t>
      </w:r>
      <w:r w:rsidRPr="00764E45">
        <w:rPr>
          <w:rFonts w:eastAsia="Calibri"/>
          <w:bCs/>
          <w:lang w:eastAsia="en-US"/>
        </w:rPr>
        <w:t>a</w:t>
      </w:r>
      <w:r w:rsidR="00207C91">
        <w:rPr>
          <w:rFonts w:eastAsia="Calibri"/>
          <w:bCs/>
          <w:lang w:eastAsia="en-US"/>
        </w:rPr>
        <w:t>z</w:t>
      </w:r>
      <w:r w:rsidRPr="00764E45">
        <w:rPr>
          <w:rFonts w:eastAsia="Calibri"/>
          <w:bCs/>
          <w:lang w:eastAsia="en-US"/>
        </w:rPr>
        <w:t xml:space="preserve">ione   idrica   profonda dell'area costiera </w:t>
      </w:r>
      <w:r w:rsidR="00207C91">
        <w:rPr>
          <w:rFonts w:eastAsia="Calibri"/>
          <w:bCs/>
          <w:lang w:eastAsia="en-US"/>
        </w:rPr>
        <w:t>T</w:t>
      </w:r>
      <w:r w:rsidRPr="00764E45">
        <w:rPr>
          <w:rFonts w:eastAsia="Calibri"/>
          <w:bCs/>
          <w:lang w:eastAsia="en-US"/>
        </w:rPr>
        <w:t>rani-</w:t>
      </w:r>
      <w:r w:rsidR="00207C91">
        <w:rPr>
          <w:rFonts w:eastAsia="Calibri"/>
          <w:bCs/>
          <w:lang w:eastAsia="en-US"/>
        </w:rPr>
        <w:t>B</w:t>
      </w:r>
      <w:r w:rsidRPr="00764E45">
        <w:rPr>
          <w:rFonts w:eastAsia="Calibri"/>
          <w:bCs/>
          <w:lang w:eastAsia="en-US"/>
        </w:rPr>
        <w:t>arletta (</w:t>
      </w:r>
      <w:r w:rsidR="00207C91">
        <w:rPr>
          <w:rFonts w:eastAsia="Calibri"/>
          <w:bCs/>
          <w:lang w:eastAsia="en-US"/>
        </w:rPr>
        <w:t>P</w:t>
      </w:r>
      <w:r w:rsidRPr="00764E45">
        <w:rPr>
          <w:rFonts w:eastAsia="Calibri"/>
          <w:bCs/>
          <w:lang w:eastAsia="en-US"/>
        </w:rPr>
        <w:t xml:space="preserve">uglia)", Atti del I° Conv. Naz. dei Giov. Ricer. in Geologia Applicata, Gargnano (BS) </w:t>
      </w:r>
    </w:p>
    <w:p w:rsidR="00764E45" w:rsidRPr="00764E45" w:rsidRDefault="00764E45" w:rsidP="00764E45">
      <w:pPr>
        <w:suppressAutoHyphens w:val="0"/>
        <w:spacing w:after="120" w:line="280" w:lineRule="atLeast"/>
        <w:jc w:val="both"/>
        <w:outlineLvl w:val="2"/>
        <w:rPr>
          <w:rFonts w:eastAsia="Calibri"/>
          <w:bCs/>
          <w:lang w:eastAsia="en-US"/>
        </w:rPr>
      </w:pPr>
      <w:r w:rsidRPr="00764E45">
        <w:rPr>
          <w:rFonts w:eastAsia="Calibri"/>
          <w:bCs/>
          <w:lang w:eastAsia="en-US"/>
        </w:rPr>
        <w:t>Bruno, G.</w:t>
      </w:r>
      <w:r>
        <w:rPr>
          <w:rFonts w:eastAsia="Calibri"/>
          <w:bCs/>
          <w:lang w:eastAsia="en-US"/>
        </w:rPr>
        <w:t>,</w:t>
      </w:r>
      <w:r w:rsidRPr="00764E45">
        <w:rPr>
          <w:rFonts w:eastAsia="Calibri"/>
          <w:bCs/>
          <w:lang w:eastAsia="en-US"/>
        </w:rPr>
        <w:t xml:space="preserve"> Campanella, G.</w:t>
      </w:r>
      <w:r>
        <w:rPr>
          <w:rFonts w:eastAsia="Calibri"/>
          <w:bCs/>
          <w:lang w:eastAsia="en-US"/>
        </w:rPr>
        <w:t>,</w:t>
      </w:r>
      <w:r w:rsidRPr="00764E45">
        <w:rPr>
          <w:rFonts w:eastAsia="Calibri"/>
          <w:bCs/>
          <w:lang w:eastAsia="en-US"/>
        </w:rPr>
        <w:t xml:space="preserve"> Pace</w:t>
      </w:r>
      <w:r>
        <w:rPr>
          <w:rFonts w:eastAsia="Calibri"/>
          <w:bCs/>
          <w:lang w:eastAsia="en-US"/>
        </w:rPr>
        <w:t>,</w:t>
      </w:r>
      <w:r w:rsidRPr="00764E45">
        <w:rPr>
          <w:rFonts w:eastAsia="Calibri"/>
          <w:bCs/>
          <w:lang w:eastAsia="en-US"/>
        </w:rPr>
        <w:t xml:space="preserve"> P. (1992): "</w:t>
      </w:r>
      <w:r w:rsidR="00207C91">
        <w:rPr>
          <w:rFonts w:eastAsia="Calibri"/>
          <w:bCs/>
          <w:lang w:eastAsia="en-US"/>
        </w:rPr>
        <w:t>F</w:t>
      </w:r>
      <w:r w:rsidRPr="00764E45">
        <w:rPr>
          <w:rFonts w:eastAsia="Calibri"/>
          <w:bCs/>
          <w:lang w:eastAsia="en-US"/>
        </w:rPr>
        <w:t xml:space="preserve">ratturazione  delle volte e neotettonica nelle </w:t>
      </w:r>
      <w:r w:rsidR="00207C91">
        <w:rPr>
          <w:rFonts w:eastAsia="Calibri"/>
          <w:bCs/>
          <w:lang w:eastAsia="en-US"/>
        </w:rPr>
        <w:t>G</w:t>
      </w:r>
      <w:r w:rsidRPr="00764E45">
        <w:rPr>
          <w:rFonts w:eastAsia="Calibri"/>
          <w:bCs/>
          <w:lang w:eastAsia="en-US"/>
        </w:rPr>
        <w:t xml:space="preserve">rotte di </w:t>
      </w:r>
      <w:r w:rsidR="00207C91">
        <w:rPr>
          <w:rFonts w:eastAsia="Calibri"/>
          <w:bCs/>
          <w:lang w:eastAsia="en-US"/>
        </w:rPr>
        <w:t>C</w:t>
      </w:r>
      <w:r w:rsidRPr="00764E45">
        <w:rPr>
          <w:rFonts w:eastAsia="Calibri"/>
          <w:bCs/>
          <w:lang w:eastAsia="en-US"/>
        </w:rPr>
        <w:t>astellana (</w:t>
      </w:r>
      <w:r w:rsidR="00207C91">
        <w:rPr>
          <w:rFonts w:eastAsia="Calibri"/>
          <w:bCs/>
          <w:lang w:eastAsia="en-US"/>
        </w:rPr>
        <w:t>P</w:t>
      </w:r>
      <w:r w:rsidRPr="00764E45">
        <w:rPr>
          <w:rFonts w:eastAsia="Calibri"/>
          <w:bCs/>
          <w:lang w:eastAsia="en-US"/>
        </w:rPr>
        <w:t xml:space="preserve">uglia): </w:t>
      </w:r>
      <w:r w:rsidR="00207C91" w:rsidRPr="00764E45">
        <w:rPr>
          <w:rFonts w:eastAsia="Calibri"/>
          <w:bCs/>
          <w:lang w:eastAsia="en-US"/>
        </w:rPr>
        <w:t>analisi fotointerpretativa</w:t>
      </w:r>
      <w:r w:rsidRPr="00764E45">
        <w:rPr>
          <w:rFonts w:eastAsia="Calibri"/>
          <w:bCs/>
          <w:lang w:eastAsia="en-US"/>
        </w:rPr>
        <w:t xml:space="preserve">", Atti 2° Convegno di Speleologia  Pugliese, Castellana Grotte </w:t>
      </w:r>
    </w:p>
    <w:p w:rsidR="00764E45" w:rsidRPr="00764E45" w:rsidRDefault="00764E45" w:rsidP="00764E45">
      <w:pPr>
        <w:suppressAutoHyphens w:val="0"/>
        <w:spacing w:after="120" w:line="280" w:lineRule="atLeast"/>
        <w:jc w:val="both"/>
        <w:outlineLvl w:val="2"/>
        <w:rPr>
          <w:rFonts w:eastAsia="Calibri"/>
          <w:bCs/>
          <w:lang w:eastAsia="en-US"/>
        </w:rPr>
      </w:pPr>
      <w:r w:rsidRPr="00764E45">
        <w:rPr>
          <w:rFonts w:eastAsia="Calibri"/>
          <w:bCs/>
          <w:lang w:eastAsia="en-US"/>
        </w:rPr>
        <w:t>Bruno, G.</w:t>
      </w:r>
      <w:r>
        <w:rPr>
          <w:rFonts w:eastAsia="Calibri"/>
          <w:bCs/>
          <w:lang w:eastAsia="en-US"/>
        </w:rPr>
        <w:t>,</w:t>
      </w:r>
      <w:r w:rsidRPr="00764E45">
        <w:rPr>
          <w:rFonts w:eastAsia="Calibri"/>
          <w:bCs/>
          <w:lang w:eastAsia="en-US"/>
        </w:rPr>
        <w:t xml:space="preserve"> Savino, G.</w:t>
      </w:r>
      <w:r>
        <w:rPr>
          <w:rFonts w:eastAsia="Calibri"/>
          <w:bCs/>
          <w:lang w:eastAsia="en-US"/>
        </w:rPr>
        <w:t>,</w:t>
      </w:r>
      <w:r w:rsidRPr="00764E45">
        <w:rPr>
          <w:rFonts w:eastAsia="Calibri"/>
          <w:bCs/>
          <w:lang w:eastAsia="en-US"/>
        </w:rPr>
        <w:t xml:space="preserve"> Sciortino</w:t>
      </w:r>
      <w:r>
        <w:rPr>
          <w:rFonts w:eastAsia="Calibri"/>
          <w:bCs/>
          <w:lang w:eastAsia="en-US"/>
        </w:rPr>
        <w:t>,</w:t>
      </w:r>
      <w:r w:rsidRPr="00764E45">
        <w:rPr>
          <w:rFonts w:eastAsia="Calibri"/>
          <w:bCs/>
          <w:lang w:eastAsia="en-US"/>
        </w:rPr>
        <w:t xml:space="preserve"> A.A. (1992): "</w:t>
      </w:r>
      <w:r>
        <w:rPr>
          <w:rFonts w:eastAsia="Calibri"/>
          <w:bCs/>
          <w:lang w:eastAsia="en-US"/>
        </w:rPr>
        <w:t>C</w:t>
      </w:r>
      <w:r w:rsidRPr="00764E45">
        <w:rPr>
          <w:rFonts w:eastAsia="Calibri"/>
          <w:bCs/>
          <w:lang w:eastAsia="en-US"/>
        </w:rPr>
        <w:t xml:space="preserve">onsiderazioni idrogeologiche sulle grotte di </w:t>
      </w:r>
      <w:r>
        <w:rPr>
          <w:rFonts w:eastAsia="Calibri"/>
          <w:bCs/>
          <w:lang w:eastAsia="en-US"/>
        </w:rPr>
        <w:t>P</w:t>
      </w:r>
      <w:r w:rsidRPr="00764E45">
        <w:rPr>
          <w:rFonts w:eastAsia="Calibri"/>
          <w:bCs/>
          <w:lang w:eastAsia="en-US"/>
        </w:rPr>
        <w:t xml:space="preserve">ozzo </w:t>
      </w:r>
      <w:r>
        <w:rPr>
          <w:rFonts w:eastAsia="Calibri"/>
          <w:bCs/>
          <w:lang w:eastAsia="en-US"/>
        </w:rPr>
        <w:t>C</w:t>
      </w:r>
      <w:r w:rsidRPr="00764E45">
        <w:rPr>
          <w:rFonts w:eastAsia="Calibri"/>
          <w:bCs/>
          <w:lang w:eastAsia="en-US"/>
        </w:rPr>
        <w:t>ucu'  (</w:t>
      </w:r>
      <w:r>
        <w:rPr>
          <w:rFonts w:eastAsia="Calibri"/>
          <w:bCs/>
          <w:lang w:eastAsia="en-US"/>
        </w:rPr>
        <w:t>P</w:t>
      </w:r>
      <w:r w:rsidRPr="00764E45">
        <w:rPr>
          <w:rFonts w:eastAsia="Calibri"/>
          <w:bCs/>
          <w:lang w:eastAsia="en-US"/>
        </w:rPr>
        <w:t xml:space="preserve">uglia)  desunte  dal trattamento  statistico  di  forme  carsiche",  Atti 2° Convegno di Speleologia Pugliese, Castellana Grotte </w:t>
      </w:r>
    </w:p>
    <w:p w:rsidR="00764E45" w:rsidRPr="0096726C" w:rsidRDefault="00764E45" w:rsidP="00764E45">
      <w:pPr>
        <w:suppressAutoHyphens w:val="0"/>
        <w:spacing w:after="120" w:line="280" w:lineRule="atLeast"/>
        <w:jc w:val="both"/>
        <w:outlineLvl w:val="2"/>
        <w:rPr>
          <w:rFonts w:eastAsia="Calibri"/>
          <w:bCs/>
          <w:lang w:eastAsia="en-US"/>
        </w:rPr>
      </w:pPr>
      <w:r w:rsidRPr="0096726C">
        <w:rPr>
          <w:rFonts w:eastAsia="Calibri"/>
          <w:bCs/>
          <w:lang w:eastAsia="en-US"/>
        </w:rPr>
        <w:t>Bruno</w:t>
      </w:r>
      <w:r>
        <w:rPr>
          <w:rFonts w:eastAsia="Calibri"/>
          <w:bCs/>
          <w:lang w:eastAsia="en-US"/>
        </w:rPr>
        <w:t>,</w:t>
      </w:r>
      <w:r w:rsidRPr="0096726C">
        <w:rPr>
          <w:rFonts w:eastAsia="Calibri"/>
          <w:bCs/>
          <w:lang w:eastAsia="en-US"/>
        </w:rPr>
        <w:t xml:space="preserve"> G., Sgobba</w:t>
      </w:r>
      <w:r>
        <w:rPr>
          <w:rFonts w:eastAsia="Calibri"/>
          <w:bCs/>
          <w:lang w:eastAsia="en-US"/>
        </w:rPr>
        <w:t>,</w:t>
      </w:r>
      <w:r w:rsidRPr="0096726C">
        <w:rPr>
          <w:rFonts w:eastAsia="Calibri"/>
          <w:bCs/>
          <w:lang w:eastAsia="en-US"/>
        </w:rPr>
        <w:t xml:space="preserve"> D. 1993 - Indizi neotettonici nell'area delle Murge  desunti da misure statistico-strutturali eseguite su stalagmiti. Itinerari Speleologici, 7, Martina Franca</w:t>
      </w:r>
    </w:p>
    <w:p w:rsidR="00764E45" w:rsidRPr="00764E45" w:rsidRDefault="00764E45" w:rsidP="00764E45">
      <w:pPr>
        <w:suppressAutoHyphens w:val="0"/>
        <w:spacing w:after="120" w:line="280" w:lineRule="atLeast"/>
        <w:jc w:val="both"/>
        <w:outlineLvl w:val="2"/>
        <w:rPr>
          <w:rFonts w:eastAsia="Calibri"/>
          <w:bCs/>
          <w:lang w:eastAsia="en-US"/>
        </w:rPr>
      </w:pPr>
      <w:r w:rsidRPr="00764E45">
        <w:rPr>
          <w:rFonts w:eastAsia="Calibri"/>
          <w:bCs/>
          <w:lang w:eastAsia="en-US"/>
        </w:rPr>
        <w:t>Bruno, G.</w:t>
      </w:r>
      <w:r>
        <w:rPr>
          <w:rFonts w:eastAsia="Calibri"/>
          <w:bCs/>
          <w:lang w:eastAsia="en-US"/>
        </w:rPr>
        <w:t>,</w:t>
      </w:r>
      <w:r w:rsidRPr="00764E45">
        <w:rPr>
          <w:rFonts w:eastAsia="Calibri"/>
          <w:bCs/>
          <w:lang w:eastAsia="en-US"/>
        </w:rPr>
        <w:t xml:space="preserve"> Cherubini, C.</w:t>
      </w:r>
      <w:r>
        <w:rPr>
          <w:rFonts w:eastAsia="Calibri"/>
          <w:bCs/>
          <w:lang w:eastAsia="en-US"/>
        </w:rPr>
        <w:t>,</w:t>
      </w:r>
      <w:r w:rsidRPr="00764E45">
        <w:rPr>
          <w:rFonts w:eastAsia="Calibri"/>
          <w:bCs/>
          <w:lang w:eastAsia="en-US"/>
        </w:rPr>
        <w:t xml:space="preserve"> Giasi, C. I.</w:t>
      </w:r>
      <w:r>
        <w:rPr>
          <w:rFonts w:eastAsia="Calibri"/>
          <w:bCs/>
          <w:lang w:eastAsia="en-US"/>
        </w:rPr>
        <w:t>,</w:t>
      </w:r>
      <w:r w:rsidRPr="00764E45">
        <w:rPr>
          <w:rFonts w:eastAsia="Calibri"/>
          <w:bCs/>
          <w:lang w:eastAsia="en-US"/>
        </w:rPr>
        <w:t xml:space="preserve"> Gonzalez Diez, I.</w:t>
      </w:r>
      <w:r>
        <w:rPr>
          <w:rFonts w:eastAsia="Calibri"/>
          <w:bCs/>
          <w:lang w:eastAsia="en-US"/>
        </w:rPr>
        <w:t>,</w:t>
      </w:r>
      <w:r w:rsidRPr="00764E45">
        <w:rPr>
          <w:rFonts w:eastAsia="Calibri"/>
          <w:bCs/>
          <w:lang w:eastAsia="en-US"/>
        </w:rPr>
        <w:t xml:space="preserve"> Miras Ruiz, A.</w:t>
      </w:r>
      <w:r>
        <w:rPr>
          <w:rFonts w:eastAsia="Calibri"/>
          <w:bCs/>
          <w:lang w:eastAsia="en-US"/>
        </w:rPr>
        <w:t>,</w:t>
      </w:r>
      <w:r w:rsidRPr="00764E45">
        <w:rPr>
          <w:rFonts w:eastAsia="Calibri"/>
          <w:bCs/>
          <w:lang w:eastAsia="en-US"/>
        </w:rPr>
        <w:t xml:space="preserve"> Rodriguez Vidal</w:t>
      </w:r>
      <w:r>
        <w:rPr>
          <w:rFonts w:eastAsia="Calibri"/>
          <w:bCs/>
          <w:lang w:eastAsia="en-US"/>
        </w:rPr>
        <w:t>,</w:t>
      </w:r>
      <w:r w:rsidRPr="00764E45">
        <w:rPr>
          <w:rFonts w:eastAsia="Calibri"/>
          <w:bCs/>
          <w:lang w:eastAsia="en-US"/>
        </w:rPr>
        <w:t xml:space="preserve"> I. (2000): "</w:t>
      </w:r>
      <w:r>
        <w:rPr>
          <w:rFonts w:eastAsia="Calibri"/>
          <w:bCs/>
          <w:lang w:eastAsia="en-US"/>
        </w:rPr>
        <w:t>C</w:t>
      </w:r>
      <w:r w:rsidRPr="00764E45">
        <w:rPr>
          <w:rFonts w:eastAsia="Calibri"/>
          <w:bCs/>
          <w:lang w:eastAsia="en-US"/>
        </w:rPr>
        <w:t xml:space="preserve">aratteri geologico-tecnici di alcuni termini della successione stratigrafica </w:t>
      </w:r>
      <w:r>
        <w:rPr>
          <w:rFonts w:eastAsia="Calibri"/>
          <w:bCs/>
          <w:lang w:eastAsia="en-US"/>
        </w:rPr>
        <w:t>P</w:t>
      </w:r>
      <w:r w:rsidRPr="00764E45">
        <w:rPr>
          <w:rFonts w:eastAsia="Calibri"/>
          <w:bCs/>
          <w:lang w:eastAsia="en-US"/>
        </w:rPr>
        <w:t xml:space="preserve">lio-pleistocenica dell'area di </w:t>
      </w:r>
      <w:r>
        <w:rPr>
          <w:rFonts w:eastAsia="Calibri"/>
          <w:bCs/>
          <w:lang w:eastAsia="en-US"/>
        </w:rPr>
        <w:t>M</w:t>
      </w:r>
      <w:r w:rsidRPr="00764E45">
        <w:rPr>
          <w:rFonts w:eastAsia="Calibri"/>
          <w:bCs/>
          <w:lang w:eastAsia="en-US"/>
        </w:rPr>
        <w:t>atera (</w:t>
      </w:r>
      <w:r>
        <w:rPr>
          <w:rFonts w:eastAsia="Calibri"/>
          <w:bCs/>
          <w:lang w:eastAsia="en-US"/>
        </w:rPr>
        <w:t>I</w:t>
      </w:r>
      <w:r w:rsidRPr="00764E45">
        <w:rPr>
          <w:rFonts w:eastAsia="Calibri"/>
          <w:bCs/>
          <w:lang w:eastAsia="en-US"/>
        </w:rPr>
        <w:t>talia meridionale)", Atti V Conv. Naz. dei Giov. Ricer. in Geologia Applicata, 08 - 10 Ottobre 1996, Cagliari, ISBN 88-900558-0-4</w:t>
      </w:r>
    </w:p>
    <w:p w:rsidR="00764E45" w:rsidRPr="00764E45" w:rsidRDefault="00764E45" w:rsidP="00764E45">
      <w:pPr>
        <w:suppressAutoHyphens w:val="0"/>
        <w:spacing w:after="120" w:line="280" w:lineRule="atLeast"/>
        <w:jc w:val="both"/>
        <w:outlineLvl w:val="2"/>
        <w:rPr>
          <w:rFonts w:eastAsia="Calibri"/>
          <w:bCs/>
          <w:lang w:eastAsia="en-US"/>
        </w:rPr>
      </w:pPr>
      <w:r w:rsidRPr="00764E45">
        <w:rPr>
          <w:rFonts w:eastAsia="Calibri"/>
          <w:bCs/>
          <w:lang w:eastAsia="en-US"/>
        </w:rPr>
        <w:t>Bruno, G.</w:t>
      </w:r>
      <w:r>
        <w:rPr>
          <w:rFonts w:eastAsia="Calibri"/>
          <w:bCs/>
          <w:lang w:eastAsia="en-US"/>
        </w:rPr>
        <w:t>,</w:t>
      </w:r>
      <w:r w:rsidRPr="00764E45">
        <w:rPr>
          <w:rFonts w:eastAsia="Calibri"/>
          <w:bCs/>
          <w:lang w:eastAsia="en-US"/>
        </w:rPr>
        <w:t xml:space="preserve"> Magni, S.</w:t>
      </w:r>
      <w:r>
        <w:rPr>
          <w:rFonts w:eastAsia="Calibri"/>
          <w:bCs/>
          <w:lang w:eastAsia="en-US"/>
        </w:rPr>
        <w:t xml:space="preserve">, </w:t>
      </w:r>
      <w:r w:rsidRPr="00764E45">
        <w:rPr>
          <w:rFonts w:eastAsia="Calibri"/>
          <w:bCs/>
          <w:lang w:eastAsia="en-US"/>
        </w:rPr>
        <w:t>Parisi</w:t>
      </w:r>
      <w:r>
        <w:rPr>
          <w:rFonts w:eastAsia="Calibri"/>
          <w:bCs/>
          <w:lang w:eastAsia="en-US"/>
        </w:rPr>
        <w:t>,</w:t>
      </w:r>
      <w:r w:rsidRPr="00764E45">
        <w:rPr>
          <w:rFonts w:eastAsia="Calibri"/>
          <w:bCs/>
          <w:lang w:eastAsia="en-US"/>
        </w:rPr>
        <w:t xml:space="preserve"> M. (2008): “Considerazioni Geo-Archeologiche preliminari sugli acquedotti settecenteschi di Gravina in Puglia (BA)”, VI Convegno Nazionale di Sp</w:t>
      </w:r>
      <w:r w:rsidRPr="00764E45">
        <w:rPr>
          <w:rFonts w:eastAsia="Calibri"/>
          <w:bCs/>
          <w:lang w:eastAsia="en-US"/>
        </w:rPr>
        <w:t>e</w:t>
      </w:r>
      <w:r w:rsidRPr="00764E45">
        <w:rPr>
          <w:rFonts w:eastAsia="Calibri"/>
          <w:bCs/>
          <w:lang w:eastAsia="en-US"/>
        </w:rPr>
        <w:t>leologia in Cavità Artificiali, Sala Conferenze del Museo Archeologico Nazionale di Nap</w:t>
      </w:r>
      <w:r w:rsidRPr="00764E45">
        <w:rPr>
          <w:rFonts w:eastAsia="Calibri"/>
          <w:bCs/>
          <w:lang w:eastAsia="en-US"/>
        </w:rPr>
        <w:t>o</w:t>
      </w:r>
      <w:r w:rsidRPr="00764E45">
        <w:rPr>
          <w:rFonts w:eastAsia="Calibri"/>
          <w:bCs/>
          <w:lang w:eastAsia="en-US"/>
        </w:rPr>
        <w:t>li, 30 maggio - 2 giugno 2008</w:t>
      </w:r>
    </w:p>
    <w:p w:rsidR="0096726C" w:rsidRPr="0096726C" w:rsidRDefault="0096726C" w:rsidP="0096726C">
      <w:pPr>
        <w:suppressAutoHyphens w:val="0"/>
        <w:spacing w:after="120" w:line="280" w:lineRule="atLeast"/>
        <w:jc w:val="both"/>
        <w:outlineLvl w:val="2"/>
        <w:rPr>
          <w:rFonts w:eastAsia="Calibri"/>
          <w:lang w:val="en-GB" w:eastAsia="en-US"/>
        </w:rPr>
      </w:pPr>
      <w:r w:rsidRPr="0096726C">
        <w:rPr>
          <w:rFonts w:eastAsia="Calibri"/>
          <w:lang w:eastAsia="en-US"/>
        </w:rPr>
        <w:t xml:space="preserve">Catalano, S., Monaco, C., Tortorici, L., Tansi, C., 1993. </w:t>
      </w:r>
      <w:r w:rsidRPr="0096726C">
        <w:rPr>
          <w:rFonts w:eastAsia="Calibri"/>
          <w:lang w:val="en-GB" w:eastAsia="en-US"/>
        </w:rPr>
        <w:t>Pleistocene strike-slip tectonics in the Lucanian Apennine (Southern Italy). Tectonics, 12, 656–665.</w:t>
      </w:r>
    </w:p>
    <w:p w:rsidR="0096726C" w:rsidRPr="0096726C" w:rsidRDefault="0096726C" w:rsidP="0096726C">
      <w:pPr>
        <w:suppressAutoHyphens w:val="0"/>
        <w:spacing w:after="120" w:line="280" w:lineRule="atLeast"/>
        <w:jc w:val="both"/>
        <w:outlineLvl w:val="2"/>
        <w:rPr>
          <w:rFonts w:eastAsia="Calibri"/>
          <w:lang w:val="en-GB" w:eastAsia="en-US"/>
        </w:rPr>
      </w:pPr>
      <w:r w:rsidRPr="0096726C">
        <w:rPr>
          <w:rFonts w:eastAsia="Calibri"/>
          <w:lang w:val="en-GB" w:eastAsia="en-US"/>
        </w:rPr>
        <w:t>Catalano S., Monaco C., Tortorici L., 2004. Neogene-Quaternary tectonic evolution of the Southern Apennines. Tectonics, 23, TC2003, doi:10.1029/2003TC001512</w:t>
      </w:r>
    </w:p>
    <w:p w:rsidR="0096726C" w:rsidRPr="0096726C" w:rsidRDefault="0096726C" w:rsidP="0096726C">
      <w:pPr>
        <w:suppressAutoHyphens w:val="0"/>
        <w:spacing w:after="120" w:line="280" w:lineRule="atLeast"/>
        <w:jc w:val="both"/>
        <w:outlineLvl w:val="2"/>
        <w:rPr>
          <w:rFonts w:eastAsia="Calibri"/>
          <w:lang w:val="en-GB" w:eastAsia="en-US"/>
        </w:rPr>
      </w:pPr>
      <w:r w:rsidRPr="0096726C">
        <w:rPr>
          <w:rFonts w:eastAsia="Calibri"/>
          <w:lang w:val="en-GB" w:eastAsia="en-US"/>
        </w:rPr>
        <w:t>Cello, G., Tondi, E., Micarelli, L., Mattioni, L. 2003 - Active tectonics and earthquake sources in the epicentral area of the 1857 Basilicata earthquake (Southern Italy). J. Geod</w:t>
      </w:r>
      <w:r w:rsidRPr="0096726C">
        <w:rPr>
          <w:rFonts w:eastAsia="Calibri"/>
          <w:lang w:val="en-GB" w:eastAsia="en-US"/>
        </w:rPr>
        <w:t>y</w:t>
      </w:r>
      <w:r w:rsidRPr="0096726C">
        <w:rPr>
          <w:rFonts w:eastAsia="Calibri"/>
          <w:lang w:val="en-GB" w:eastAsia="en-US"/>
        </w:rPr>
        <w:t>namics, 36, 37–50</w:t>
      </w:r>
    </w:p>
    <w:p w:rsidR="0096726C" w:rsidRPr="0096726C" w:rsidRDefault="0096726C" w:rsidP="0096726C">
      <w:pPr>
        <w:suppressAutoHyphens w:val="0"/>
        <w:spacing w:after="120" w:line="280" w:lineRule="atLeast"/>
        <w:jc w:val="both"/>
        <w:outlineLvl w:val="2"/>
        <w:rPr>
          <w:rFonts w:eastAsia="Calibri"/>
          <w:lang w:val="en-GB" w:eastAsia="en-US"/>
        </w:rPr>
      </w:pPr>
      <w:r w:rsidRPr="0096726C">
        <w:rPr>
          <w:rFonts w:eastAsia="Calibri"/>
          <w:lang w:val="en-GB" w:eastAsia="en-US"/>
        </w:rPr>
        <w:t>Chatzaras V., Xypolias P., Kokkalas S., Koukouvelas I. 2013 – Tectonic evolution of a crustal-scale oblique ramp, Hellenides thrust belt, Greece.  Journal of Structural Geology, 57, 16-37</w:t>
      </w:r>
    </w:p>
    <w:p w:rsidR="0096726C" w:rsidRPr="0096726C" w:rsidRDefault="0096726C" w:rsidP="0096726C">
      <w:pPr>
        <w:suppressAutoHyphens w:val="0"/>
        <w:spacing w:after="120" w:line="280" w:lineRule="atLeast"/>
        <w:jc w:val="both"/>
        <w:outlineLvl w:val="2"/>
        <w:rPr>
          <w:rFonts w:eastAsia="Calibri"/>
          <w:lang w:val="en-GB" w:eastAsia="en-US"/>
        </w:rPr>
      </w:pPr>
      <w:r w:rsidRPr="0096726C">
        <w:rPr>
          <w:rFonts w:eastAsia="Calibri"/>
          <w:lang w:val="en-GB" w:eastAsia="en-US"/>
        </w:rPr>
        <w:t>Cinque, A., Patacca, E., Scandone, P., Tozzi, M., 1993. Quaternary kinematic evolution of the Southern Apennines. Relationships between surface geological features and deep lith</w:t>
      </w:r>
      <w:r w:rsidRPr="0096726C">
        <w:rPr>
          <w:rFonts w:eastAsia="Calibri"/>
          <w:lang w:val="en-GB" w:eastAsia="en-US"/>
        </w:rPr>
        <w:t>o</w:t>
      </w:r>
      <w:r w:rsidRPr="0096726C">
        <w:rPr>
          <w:rFonts w:eastAsia="Calibri"/>
          <w:lang w:val="en-GB" w:eastAsia="en-US"/>
        </w:rPr>
        <w:t>spheric structures. Annali di Geofisica, 36, 249–260</w:t>
      </w:r>
    </w:p>
    <w:p w:rsidR="0096726C" w:rsidRPr="0096726C" w:rsidRDefault="0096726C" w:rsidP="0096726C">
      <w:pPr>
        <w:suppressAutoHyphens w:val="0"/>
        <w:spacing w:after="120" w:line="280" w:lineRule="atLeast"/>
        <w:jc w:val="both"/>
        <w:outlineLvl w:val="2"/>
        <w:rPr>
          <w:rFonts w:eastAsia="Calibri"/>
          <w:lang w:val="en-GB" w:eastAsia="en-US"/>
        </w:rPr>
      </w:pPr>
      <w:r w:rsidRPr="0096726C">
        <w:rPr>
          <w:rFonts w:eastAsia="Calibri"/>
          <w:lang w:val="en-GB" w:eastAsia="en-US"/>
        </w:rPr>
        <w:t>Devoti, R., Riguzzi, F., Cuffaro, M., Doglioni, C. 2008 - New GPS constraints on the ki</w:t>
      </w:r>
      <w:r w:rsidRPr="0096726C">
        <w:rPr>
          <w:rFonts w:eastAsia="Calibri"/>
          <w:lang w:val="en-GB" w:eastAsia="en-US"/>
        </w:rPr>
        <w:t>n</w:t>
      </w:r>
      <w:r w:rsidRPr="0096726C">
        <w:rPr>
          <w:rFonts w:eastAsia="Calibri"/>
          <w:lang w:val="en-GB" w:eastAsia="en-US"/>
        </w:rPr>
        <w:t>ematics of the Apennines subduction. Earth Planet. Sci. Lett., 273, 163–174, doi:10.1016/j.epsl.2008.06.031</w:t>
      </w:r>
    </w:p>
    <w:p w:rsidR="0096726C" w:rsidRPr="0096726C" w:rsidRDefault="0096726C" w:rsidP="0096726C">
      <w:pPr>
        <w:suppressAutoHyphens w:val="0"/>
        <w:spacing w:after="120" w:line="280" w:lineRule="atLeast"/>
        <w:jc w:val="both"/>
        <w:outlineLvl w:val="2"/>
        <w:rPr>
          <w:rFonts w:eastAsia="Calibri"/>
          <w:lang w:eastAsia="en-US"/>
        </w:rPr>
      </w:pPr>
      <w:r w:rsidRPr="0096726C">
        <w:rPr>
          <w:rFonts w:eastAsia="Calibri"/>
          <w:lang w:val="en-GB" w:eastAsia="en-US"/>
        </w:rPr>
        <w:lastRenderedPageBreak/>
        <w:t xml:space="preserve">Di Bucci, D., Coccia, S., Fracassi, U., Iurilli, V., Mastronuzzi, G., Palmentola, G., Sansò, P., Selleri, G., Valensise, G. 2009 - Late Quaternary deformation of the southern Adriatic foreland (southern Apulia) from mesostructural data: preliminary results. </w:t>
      </w:r>
      <w:r w:rsidRPr="0096726C">
        <w:rPr>
          <w:rFonts w:eastAsia="Calibri"/>
          <w:lang w:eastAsia="en-US"/>
        </w:rPr>
        <w:t>Bollettino della Società Geologica Italiana, 128, 33–46</w:t>
      </w:r>
    </w:p>
    <w:p w:rsidR="0096726C" w:rsidRPr="0096726C" w:rsidRDefault="0096726C" w:rsidP="0096726C">
      <w:pPr>
        <w:suppressAutoHyphens w:val="0"/>
        <w:spacing w:after="120" w:line="280" w:lineRule="atLeast"/>
        <w:jc w:val="both"/>
        <w:outlineLvl w:val="2"/>
        <w:rPr>
          <w:rFonts w:eastAsia="Calibri"/>
          <w:lang w:eastAsia="en-US"/>
        </w:rPr>
      </w:pPr>
      <w:r w:rsidRPr="0096726C">
        <w:rPr>
          <w:rFonts w:eastAsia="Calibri"/>
          <w:lang w:eastAsia="en-US"/>
        </w:rPr>
        <w:t>Fedi M. &amp; Rapolla A.  1988  - La regione appenninica meridionale: struttura crostale e aspetti geodinamici da dati gravimetrici e magnetici. Mem. Soc. GeoI., 11, 41, 1291-1306</w:t>
      </w:r>
    </w:p>
    <w:p w:rsidR="0096726C" w:rsidRPr="0096726C" w:rsidRDefault="0096726C" w:rsidP="0096726C">
      <w:pPr>
        <w:suppressAutoHyphens w:val="0"/>
        <w:spacing w:after="120" w:line="280" w:lineRule="atLeast"/>
        <w:jc w:val="both"/>
        <w:outlineLvl w:val="2"/>
        <w:rPr>
          <w:rFonts w:eastAsia="Calibri"/>
          <w:lang w:val="en-GB" w:eastAsia="en-US"/>
        </w:rPr>
      </w:pPr>
      <w:r w:rsidRPr="0096726C">
        <w:rPr>
          <w:rFonts w:eastAsia="Calibri"/>
          <w:lang w:eastAsia="en-US"/>
        </w:rPr>
        <w:t xml:space="preserve">Ferranti L., Palano M., Cannavò F., Mazzella M.E., Oldowc J. S., Gueguen E., Mattia M., Monaco C. 2014 - Rates of geodetic deformation across active faults in southern Italy. </w:t>
      </w:r>
      <w:r w:rsidRPr="0096726C">
        <w:rPr>
          <w:rFonts w:eastAsia="Calibri"/>
          <w:lang w:val="en-GB" w:eastAsia="en-US"/>
        </w:rPr>
        <w:t>Te</w:t>
      </w:r>
      <w:r w:rsidRPr="0096726C">
        <w:rPr>
          <w:rFonts w:eastAsia="Calibri"/>
          <w:lang w:val="en-GB" w:eastAsia="en-US"/>
        </w:rPr>
        <w:t>c</w:t>
      </w:r>
      <w:r w:rsidRPr="0096726C">
        <w:rPr>
          <w:rFonts w:eastAsia="Calibri"/>
          <w:lang w:val="en-GB" w:eastAsia="en-US"/>
        </w:rPr>
        <w:t xml:space="preserve">tonophysics, 621, 101-122 </w:t>
      </w:r>
    </w:p>
    <w:p w:rsidR="0096726C" w:rsidRPr="0096726C" w:rsidRDefault="0096726C" w:rsidP="0096726C">
      <w:pPr>
        <w:suppressAutoHyphens w:val="0"/>
        <w:spacing w:after="120" w:line="280" w:lineRule="atLeast"/>
        <w:jc w:val="both"/>
        <w:outlineLvl w:val="2"/>
        <w:rPr>
          <w:rFonts w:eastAsia="Calibri"/>
          <w:lang w:val="en-GB" w:eastAsia="en-US"/>
        </w:rPr>
      </w:pPr>
      <w:r w:rsidRPr="0096726C">
        <w:rPr>
          <w:rFonts w:eastAsia="Calibri"/>
          <w:lang w:val="en-GB" w:eastAsia="en-US"/>
        </w:rPr>
        <w:t>Festa V. 2003 - Cretaceous structural features of the Murge area (Apulian Foreland, Sout</w:t>
      </w:r>
      <w:r w:rsidRPr="0096726C">
        <w:rPr>
          <w:rFonts w:eastAsia="Calibri"/>
          <w:lang w:val="en-GB" w:eastAsia="en-US"/>
        </w:rPr>
        <w:t>h</w:t>
      </w:r>
      <w:r w:rsidRPr="0096726C">
        <w:rPr>
          <w:rFonts w:eastAsia="Calibri"/>
          <w:lang w:val="en-GB" w:eastAsia="en-US"/>
        </w:rPr>
        <w:t>ern Italy).  Eclogae geol. Helv., 96, 11-22</w:t>
      </w:r>
    </w:p>
    <w:p w:rsidR="0096726C" w:rsidRPr="0096726C" w:rsidRDefault="0096726C" w:rsidP="0096726C">
      <w:pPr>
        <w:suppressAutoHyphens w:val="0"/>
        <w:spacing w:after="120" w:line="280" w:lineRule="atLeast"/>
        <w:jc w:val="both"/>
        <w:outlineLvl w:val="2"/>
        <w:rPr>
          <w:rFonts w:eastAsia="Calibri"/>
          <w:lang w:val="en-GB" w:eastAsia="en-US"/>
        </w:rPr>
      </w:pPr>
      <w:r w:rsidRPr="0096726C">
        <w:rPr>
          <w:rFonts w:eastAsia="Calibri"/>
          <w:lang w:val="en-GB" w:eastAsia="en-US"/>
        </w:rPr>
        <w:t xml:space="preserve">Frepoli A., Maggi C., Cimini G.B., Marchetti A., Chiappini M. 2011 - Seismotectonic of Southern Apennines from recent passive seismic experiments. Journal of Geodynamics, 51, Issues 2-3, 110-124 </w:t>
      </w:r>
    </w:p>
    <w:p w:rsidR="0096726C" w:rsidRPr="0096726C" w:rsidRDefault="0096726C" w:rsidP="0096726C">
      <w:pPr>
        <w:suppressAutoHyphens w:val="0"/>
        <w:spacing w:after="120" w:line="280" w:lineRule="atLeast"/>
        <w:jc w:val="both"/>
        <w:outlineLvl w:val="2"/>
        <w:rPr>
          <w:rFonts w:eastAsia="Calibri"/>
          <w:lang w:val="en-GB" w:eastAsia="en-US"/>
        </w:rPr>
      </w:pPr>
      <w:r w:rsidRPr="0096726C">
        <w:rPr>
          <w:rFonts w:eastAsia="Calibri"/>
          <w:lang w:val="en-GB" w:eastAsia="en-US"/>
        </w:rPr>
        <w:t>Hippolyte, J.-C., Angelier, J., Roure, F., 1994a - A major geodynamic change revealed by Quaternary stress patterns in the Southern Apennines (Italy). Tectonophysics, 230, 199–210</w:t>
      </w:r>
    </w:p>
    <w:p w:rsidR="0096726C" w:rsidRPr="0096726C" w:rsidRDefault="0096726C" w:rsidP="0096726C">
      <w:pPr>
        <w:suppressAutoHyphens w:val="0"/>
        <w:spacing w:after="120" w:line="280" w:lineRule="atLeast"/>
        <w:jc w:val="both"/>
        <w:outlineLvl w:val="2"/>
        <w:rPr>
          <w:rFonts w:eastAsia="Calibri"/>
          <w:lang w:val="en-GB" w:eastAsia="en-US"/>
        </w:rPr>
      </w:pPr>
      <w:r w:rsidRPr="0096726C">
        <w:rPr>
          <w:rFonts w:eastAsia="Calibri"/>
          <w:lang w:val="en-GB" w:eastAsia="en-US"/>
        </w:rPr>
        <w:t>Korneva I., Tondi E., Agosta F., Rustichelli A., Spina V., Bitonte R., Di Cuia R. 2014 - Structural properties of fractured and faulted Cretaceous platform carbonates, Murge Pla</w:t>
      </w:r>
      <w:r w:rsidRPr="0096726C">
        <w:rPr>
          <w:rFonts w:eastAsia="Calibri"/>
          <w:lang w:val="en-GB" w:eastAsia="en-US"/>
        </w:rPr>
        <w:t>t</w:t>
      </w:r>
      <w:r w:rsidRPr="0096726C">
        <w:rPr>
          <w:rFonts w:eastAsia="Calibri"/>
          <w:lang w:val="en-GB" w:eastAsia="en-US"/>
        </w:rPr>
        <w:t xml:space="preserve">eau (Southern Italy). Marine and Petroleum Geology, 57, 312-326 </w:t>
      </w:r>
    </w:p>
    <w:p w:rsidR="0096726C" w:rsidRPr="0096726C" w:rsidRDefault="0096726C" w:rsidP="0096726C">
      <w:pPr>
        <w:suppressAutoHyphens w:val="0"/>
        <w:spacing w:after="120" w:line="280" w:lineRule="atLeast"/>
        <w:jc w:val="both"/>
        <w:outlineLvl w:val="2"/>
        <w:rPr>
          <w:rFonts w:eastAsia="Calibri"/>
          <w:lang w:val="en-GB" w:eastAsia="en-US"/>
        </w:rPr>
      </w:pPr>
      <w:r w:rsidRPr="0096726C">
        <w:rPr>
          <w:rFonts w:eastAsia="Calibri"/>
          <w:lang w:val="en-GB" w:eastAsia="en-US"/>
        </w:rPr>
        <w:t xml:space="preserve">Lowrie W. 1986 - Paleomagnetism and the Adriatic promontory: a reappraisal. </w:t>
      </w:r>
      <w:r w:rsidRPr="0096726C">
        <w:rPr>
          <w:rFonts w:eastAsia="Calibri"/>
          <w:iCs/>
          <w:lang w:val="en-GB" w:eastAsia="en-US"/>
        </w:rPr>
        <w:t xml:space="preserve">Tectonics, </w:t>
      </w:r>
      <w:r w:rsidRPr="0096726C">
        <w:rPr>
          <w:rFonts w:eastAsia="Calibri"/>
          <w:lang w:val="en-GB" w:eastAsia="en-US"/>
        </w:rPr>
        <w:t>5, 5: 797-807</w:t>
      </w:r>
    </w:p>
    <w:p w:rsidR="0096726C" w:rsidRPr="0096726C" w:rsidRDefault="0096726C" w:rsidP="0096726C">
      <w:pPr>
        <w:suppressAutoHyphens w:val="0"/>
        <w:spacing w:after="120" w:line="280" w:lineRule="atLeast"/>
        <w:jc w:val="both"/>
        <w:outlineLvl w:val="2"/>
        <w:rPr>
          <w:rFonts w:eastAsia="Calibri"/>
          <w:lang w:val="en-GB" w:eastAsia="en-US"/>
        </w:rPr>
      </w:pPr>
      <w:r w:rsidRPr="0096726C">
        <w:rPr>
          <w:rFonts w:eastAsia="Calibri"/>
          <w:lang w:val="en-GB" w:eastAsia="en-US"/>
        </w:rPr>
        <w:t>Mariotti, G., Doglioni, C.  2000 - The dip of the foreland monocline in the Alps and Ape</w:t>
      </w:r>
      <w:r w:rsidRPr="0096726C">
        <w:rPr>
          <w:rFonts w:eastAsia="Calibri"/>
          <w:lang w:val="en-GB" w:eastAsia="en-US"/>
        </w:rPr>
        <w:t>n</w:t>
      </w:r>
      <w:r w:rsidRPr="0096726C">
        <w:rPr>
          <w:rFonts w:eastAsia="Calibri"/>
          <w:lang w:val="en-GB" w:eastAsia="en-US"/>
        </w:rPr>
        <w:t>nines. Earth and Planetary Science Letters, 181, 191-202</w:t>
      </w:r>
    </w:p>
    <w:p w:rsidR="0096726C" w:rsidRPr="0096726C" w:rsidRDefault="0096726C" w:rsidP="0096726C">
      <w:pPr>
        <w:suppressAutoHyphens w:val="0"/>
        <w:spacing w:after="120" w:line="280" w:lineRule="atLeast"/>
        <w:jc w:val="both"/>
        <w:outlineLvl w:val="2"/>
        <w:rPr>
          <w:rFonts w:eastAsia="Calibri"/>
          <w:lang w:val="en-GB" w:eastAsia="en-US"/>
        </w:rPr>
      </w:pPr>
      <w:r w:rsidRPr="0096726C">
        <w:rPr>
          <w:rFonts w:eastAsia="Calibri"/>
          <w:lang w:val="en-GB" w:eastAsia="en-US"/>
        </w:rPr>
        <w:t>Mattei, M., Petrocelli, V., Lacava, D., Schiattarella, M. 2004 - Geodynamic implications of Pleistocene ultrarapid vertical-axis rotations in the Southern Apennines, Italy. Geology, 32 (9), 789–792</w:t>
      </w:r>
    </w:p>
    <w:p w:rsidR="0096726C" w:rsidRPr="0096726C" w:rsidRDefault="0096726C" w:rsidP="0096726C">
      <w:pPr>
        <w:suppressAutoHyphens w:val="0"/>
        <w:spacing w:after="120" w:line="280" w:lineRule="atLeast"/>
        <w:jc w:val="both"/>
        <w:outlineLvl w:val="2"/>
        <w:rPr>
          <w:rFonts w:eastAsia="Calibri"/>
          <w:lang w:val="en-GB" w:eastAsia="en-US"/>
        </w:rPr>
      </w:pPr>
      <w:r w:rsidRPr="0096726C">
        <w:rPr>
          <w:rFonts w:eastAsia="Calibri"/>
          <w:lang w:val="en-GB" w:eastAsia="en-US"/>
        </w:rPr>
        <w:t>Menardi Noguera, A., Rea, G., 2000 - Deep structure of the Campanian-Lucanian Arc (Southern Apennine, Italy). Tectonophysics, 324, 239–265</w:t>
      </w:r>
    </w:p>
    <w:p w:rsidR="0096726C" w:rsidRPr="0096726C" w:rsidRDefault="0096726C" w:rsidP="0096726C">
      <w:pPr>
        <w:suppressAutoHyphens w:val="0"/>
        <w:spacing w:after="120" w:line="280" w:lineRule="atLeast"/>
        <w:jc w:val="both"/>
        <w:outlineLvl w:val="2"/>
        <w:rPr>
          <w:rFonts w:eastAsia="Calibri"/>
          <w:lang w:val="en-GB" w:eastAsia="en-US"/>
        </w:rPr>
      </w:pPr>
      <w:r w:rsidRPr="0096726C">
        <w:rPr>
          <w:rFonts w:eastAsia="Calibri"/>
          <w:lang w:val="en-GB" w:eastAsia="en-US"/>
        </w:rPr>
        <w:t>Mindszenty A., D’Argenio B. &amp; Aiello G. 1995 – Lithospheric bulges recorded by regional unconformities. The cas of Mesozoic-Terziary Apulia. Tectonophisics, 252, 137-161</w:t>
      </w:r>
    </w:p>
    <w:p w:rsidR="0096726C" w:rsidRDefault="0096726C" w:rsidP="0096726C">
      <w:pPr>
        <w:suppressAutoHyphens w:val="0"/>
        <w:spacing w:after="120" w:line="280" w:lineRule="atLeast"/>
        <w:jc w:val="both"/>
        <w:outlineLvl w:val="2"/>
        <w:rPr>
          <w:rFonts w:eastAsia="Calibri"/>
          <w:lang w:eastAsia="en-US"/>
        </w:rPr>
      </w:pPr>
      <w:r w:rsidRPr="0096726C">
        <w:rPr>
          <w:rFonts w:eastAsia="Calibri"/>
          <w:lang w:val="en-GB" w:eastAsia="en-US"/>
        </w:rPr>
        <w:t xml:space="preserve">Montone, P., Mariucci, M.T., Pondrelli, S., Amato, A.  2004 - An improved stress map for Italy and surrounding regions (central Mediterranean). </w:t>
      </w:r>
      <w:r w:rsidRPr="0096726C">
        <w:rPr>
          <w:rFonts w:eastAsia="Calibri"/>
          <w:lang w:eastAsia="en-US"/>
        </w:rPr>
        <w:t>J. Geophys. Res., 109, B10410, doi:10.1029/2003JB002703</w:t>
      </w:r>
    </w:p>
    <w:p w:rsidR="00F83C92" w:rsidRPr="00272C6A" w:rsidRDefault="00F83C92" w:rsidP="00F83C92">
      <w:pPr>
        <w:suppressAutoHyphens w:val="0"/>
        <w:spacing w:after="120" w:line="280" w:lineRule="atLeast"/>
        <w:jc w:val="both"/>
        <w:outlineLvl w:val="2"/>
        <w:rPr>
          <w:rFonts w:eastAsia="Calibri"/>
          <w:bCs/>
          <w:lang w:val="en-GB" w:eastAsia="en-US"/>
        </w:rPr>
      </w:pPr>
      <w:r w:rsidRPr="0096726C">
        <w:rPr>
          <w:rFonts w:eastAsia="Calibri"/>
          <w:bCs/>
          <w:lang w:eastAsia="en-US"/>
        </w:rPr>
        <w:t>Pagliarulo</w:t>
      </w:r>
      <w:r>
        <w:rPr>
          <w:rFonts w:eastAsia="Calibri"/>
          <w:bCs/>
          <w:lang w:eastAsia="en-US"/>
        </w:rPr>
        <w:t>,</w:t>
      </w:r>
      <w:r w:rsidRPr="00E934A5">
        <w:rPr>
          <w:rFonts w:eastAsia="Calibri"/>
          <w:bCs/>
          <w:lang w:eastAsia="en-US"/>
        </w:rPr>
        <w:t xml:space="preserve"> </w:t>
      </w:r>
      <w:r w:rsidRPr="0096726C">
        <w:rPr>
          <w:rFonts w:eastAsia="Calibri"/>
          <w:bCs/>
          <w:lang w:eastAsia="en-US"/>
        </w:rPr>
        <w:t>R.,</w:t>
      </w:r>
      <w:r w:rsidRPr="0096726C">
        <w:rPr>
          <w:rFonts w:eastAsia="Calibri"/>
          <w:b/>
          <w:bCs/>
          <w:lang w:eastAsia="en-US"/>
        </w:rPr>
        <w:t xml:space="preserve">   </w:t>
      </w:r>
      <w:r w:rsidRPr="0096726C">
        <w:rPr>
          <w:rFonts w:eastAsia="Calibri"/>
          <w:bCs/>
          <w:lang w:eastAsia="en-US"/>
        </w:rPr>
        <w:t>Bruno</w:t>
      </w:r>
      <w:r>
        <w:rPr>
          <w:rFonts w:eastAsia="Calibri"/>
          <w:bCs/>
          <w:lang w:eastAsia="en-US"/>
        </w:rPr>
        <w:t>,</w:t>
      </w:r>
      <w:r w:rsidRPr="0096726C">
        <w:rPr>
          <w:rFonts w:eastAsia="Calibri"/>
          <w:bCs/>
          <w:lang w:eastAsia="en-US"/>
        </w:rPr>
        <w:t xml:space="preserve">  G. (1990):   "</w:t>
      </w:r>
      <w:r>
        <w:rPr>
          <w:rFonts w:eastAsia="Calibri"/>
          <w:bCs/>
          <w:lang w:eastAsia="en-US"/>
        </w:rPr>
        <w:t>I</w:t>
      </w:r>
      <w:r w:rsidRPr="0096726C">
        <w:rPr>
          <w:rFonts w:eastAsia="Calibri"/>
          <w:bCs/>
          <w:lang w:eastAsia="en-US"/>
        </w:rPr>
        <w:t xml:space="preserve">mplicazioni   tettonico - strutturali nella circolazione idrica  profonda nell' area  del </w:t>
      </w:r>
      <w:r>
        <w:rPr>
          <w:rFonts w:eastAsia="Calibri"/>
          <w:bCs/>
          <w:lang w:eastAsia="en-US"/>
        </w:rPr>
        <w:t>M</w:t>
      </w:r>
      <w:r w:rsidRPr="0096726C">
        <w:rPr>
          <w:rFonts w:eastAsia="Calibri"/>
          <w:bCs/>
          <w:lang w:eastAsia="en-US"/>
        </w:rPr>
        <w:t xml:space="preserve">ar </w:t>
      </w:r>
      <w:r>
        <w:rPr>
          <w:rFonts w:eastAsia="Calibri"/>
          <w:bCs/>
          <w:lang w:eastAsia="en-US"/>
        </w:rPr>
        <w:t>P</w:t>
      </w:r>
      <w:r w:rsidRPr="0096726C">
        <w:rPr>
          <w:rFonts w:eastAsia="Calibri"/>
          <w:bCs/>
          <w:lang w:eastAsia="en-US"/>
        </w:rPr>
        <w:t xml:space="preserve">iccolo di </w:t>
      </w:r>
      <w:r>
        <w:rPr>
          <w:rFonts w:eastAsia="Calibri"/>
          <w:bCs/>
          <w:lang w:eastAsia="en-US"/>
        </w:rPr>
        <w:t>T</w:t>
      </w:r>
      <w:r w:rsidRPr="0096726C">
        <w:rPr>
          <w:rFonts w:eastAsia="Calibri"/>
          <w:bCs/>
          <w:lang w:eastAsia="en-US"/>
        </w:rPr>
        <w:t>aranto (</w:t>
      </w:r>
      <w:r>
        <w:rPr>
          <w:rFonts w:eastAsia="Calibri"/>
          <w:bCs/>
          <w:lang w:eastAsia="en-US"/>
        </w:rPr>
        <w:t>P</w:t>
      </w:r>
      <w:r w:rsidRPr="0096726C">
        <w:rPr>
          <w:rFonts w:eastAsia="Calibri"/>
          <w:bCs/>
          <w:lang w:eastAsia="en-US"/>
        </w:rPr>
        <w:t>uglia)", Boll.</w:t>
      </w:r>
      <w:r>
        <w:rPr>
          <w:rFonts w:eastAsia="Calibri"/>
          <w:bCs/>
          <w:lang w:eastAsia="en-US"/>
        </w:rPr>
        <w:t xml:space="preserve"> </w:t>
      </w:r>
      <w:r w:rsidRPr="0096726C">
        <w:rPr>
          <w:rFonts w:eastAsia="Calibri"/>
          <w:bCs/>
          <w:lang w:eastAsia="en-US"/>
        </w:rPr>
        <w:t>Soc.</w:t>
      </w:r>
      <w:r>
        <w:rPr>
          <w:rFonts w:eastAsia="Calibri"/>
          <w:bCs/>
          <w:lang w:eastAsia="en-US"/>
        </w:rPr>
        <w:t xml:space="preserve"> </w:t>
      </w:r>
      <w:r w:rsidRPr="00272C6A">
        <w:rPr>
          <w:rFonts w:eastAsia="Calibri"/>
          <w:bCs/>
          <w:lang w:val="en-GB" w:eastAsia="en-US"/>
        </w:rPr>
        <w:t xml:space="preserve">Geol. It., 109, Roma; </w:t>
      </w:r>
    </w:p>
    <w:p w:rsidR="00272C6A" w:rsidRPr="00350AFE" w:rsidRDefault="00272C6A" w:rsidP="00272C6A">
      <w:pPr>
        <w:suppressAutoHyphens w:val="0"/>
        <w:spacing w:after="120" w:line="280" w:lineRule="atLeast"/>
        <w:jc w:val="both"/>
        <w:outlineLvl w:val="2"/>
        <w:rPr>
          <w:rFonts w:eastAsia="Calibri"/>
          <w:iCs/>
          <w:lang w:eastAsia="en-US"/>
        </w:rPr>
      </w:pPr>
      <w:r w:rsidRPr="00A94660">
        <w:rPr>
          <w:rFonts w:eastAsia="Calibri"/>
          <w:bCs/>
          <w:iCs/>
          <w:lang w:val="en-GB" w:eastAsia="en-US"/>
        </w:rPr>
        <w:t>Peresan</w:t>
      </w:r>
      <w:r w:rsidR="00350AFE" w:rsidRPr="00A94660">
        <w:rPr>
          <w:rFonts w:eastAsia="Calibri"/>
          <w:bCs/>
          <w:iCs/>
          <w:lang w:val="en-GB" w:eastAsia="en-US"/>
        </w:rPr>
        <w:t>,</w:t>
      </w:r>
      <w:r w:rsidRPr="00A94660">
        <w:rPr>
          <w:rFonts w:eastAsia="Calibri"/>
          <w:bCs/>
          <w:iCs/>
          <w:lang w:val="en-GB" w:eastAsia="en-US"/>
        </w:rPr>
        <w:t xml:space="preserve"> </w:t>
      </w:r>
      <w:r w:rsidRPr="00A94660">
        <w:rPr>
          <w:rFonts w:eastAsia="Calibri"/>
          <w:iCs/>
          <w:lang w:val="en-GB" w:eastAsia="en-US"/>
        </w:rPr>
        <w:t>A., Gorshkov</w:t>
      </w:r>
      <w:r w:rsidR="00350AFE" w:rsidRPr="00A94660">
        <w:rPr>
          <w:rFonts w:eastAsia="Calibri"/>
          <w:iCs/>
          <w:lang w:val="en-GB" w:eastAsia="en-US"/>
        </w:rPr>
        <w:t>,</w:t>
      </w:r>
      <w:r w:rsidRPr="00A94660">
        <w:rPr>
          <w:rFonts w:eastAsia="Calibri"/>
          <w:iCs/>
          <w:lang w:val="en-GB" w:eastAsia="en-US"/>
        </w:rPr>
        <w:t xml:space="preserve"> A., Soloviev</w:t>
      </w:r>
      <w:r w:rsidR="00350AFE" w:rsidRPr="00A94660">
        <w:rPr>
          <w:rFonts w:eastAsia="Calibri"/>
          <w:iCs/>
          <w:lang w:val="en-GB" w:eastAsia="en-US"/>
        </w:rPr>
        <w:t>,</w:t>
      </w:r>
      <w:r w:rsidRPr="00A94660">
        <w:rPr>
          <w:rFonts w:eastAsia="Calibri"/>
          <w:iCs/>
          <w:lang w:val="en-GB" w:eastAsia="en-US"/>
        </w:rPr>
        <w:t xml:space="preserve"> A., Panza</w:t>
      </w:r>
      <w:r w:rsidR="00350AFE" w:rsidRPr="00A94660">
        <w:rPr>
          <w:rFonts w:eastAsia="Calibri"/>
          <w:iCs/>
          <w:lang w:val="en-GB" w:eastAsia="en-US"/>
        </w:rPr>
        <w:t>,</w:t>
      </w:r>
      <w:r w:rsidRPr="00A94660">
        <w:rPr>
          <w:rFonts w:eastAsia="Calibri"/>
          <w:iCs/>
          <w:lang w:val="en-GB" w:eastAsia="en-US"/>
        </w:rPr>
        <w:t xml:space="preserve"> G.F., 2015. </w:t>
      </w:r>
      <w:r w:rsidRPr="00350AFE">
        <w:rPr>
          <w:rFonts w:eastAsia="Calibri"/>
          <w:iCs/>
          <w:lang w:val="en-GB" w:eastAsia="en-US"/>
        </w:rPr>
        <w:t xml:space="preserve">The contribution of pattern recognition of seismic and morphostructural data to seismic hazard assessment. </w:t>
      </w:r>
      <w:r w:rsidRPr="00350AFE">
        <w:rPr>
          <w:rFonts w:eastAsia="Calibri"/>
          <w:iCs/>
          <w:lang w:eastAsia="en-US"/>
        </w:rPr>
        <w:t xml:space="preserve">Bollettino di Geofisica Teorica ed Applicata, 56, 295–328 </w:t>
      </w:r>
    </w:p>
    <w:p w:rsidR="0096726C" w:rsidRPr="0096726C" w:rsidRDefault="0096726C" w:rsidP="0096726C">
      <w:pPr>
        <w:suppressAutoHyphens w:val="0"/>
        <w:spacing w:after="120" w:line="280" w:lineRule="atLeast"/>
        <w:jc w:val="both"/>
        <w:outlineLvl w:val="2"/>
        <w:rPr>
          <w:rFonts w:eastAsia="Calibri"/>
          <w:lang w:eastAsia="en-US"/>
        </w:rPr>
      </w:pPr>
      <w:r w:rsidRPr="0096726C">
        <w:rPr>
          <w:rFonts w:eastAsia="Calibri"/>
          <w:lang w:eastAsia="en-US"/>
        </w:rPr>
        <w:lastRenderedPageBreak/>
        <w:t>Pieri, P., Vitale, G., Beneduce, P., Doglioni, C., Gallicchio, S., Giano, S.I., Loizzo, R., M</w:t>
      </w:r>
      <w:r w:rsidRPr="0096726C">
        <w:rPr>
          <w:rFonts w:eastAsia="Calibri"/>
          <w:lang w:eastAsia="en-US"/>
        </w:rPr>
        <w:t>o</w:t>
      </w:r>
      <w:r w:rsidRPr="0096726C">
        <w:rPr>
          <w:rFonts w:eastAsia="Calibri"/>
          <w:lang w:eastAsia="en-US"/>
        </w:rPr>
        <w:t>retti, M., Prosser, G., Sabato, L., Schiattarella, M., Tramutoli, M., Tropeano, M. 1997 - Te</w:t>
      </w:r>
      <w:r w:rsidRPr="0096726C">
        <w:rPr>
          <w:rFonts w:eastAsia="Calibri"/>
          <w:lang w:eastAsia="en-US"/>
        </w:rPr>
        <w:t>t</w:t>
      </w:r>
      <w:r w:rsidRPr="0096726C">
        <w:rPr>
          <w:rFonts w:eastAsia="Calibri"/>
          <w:lang w:eastAsia="en-US"/>
        </w:rPr>
        <w:t>tonica quaternaria nell’area Bradanico-Ionica. Il Quaternario, 10, 535–642</w:t>
      </w:r>
    </w:p>
    <w:p w:rsidR="0096726C" w:rsidRPr="0096726C" w:rsidRDefault="0096726C" w:rsidP="0096726C">
      <w:pPr>
        <w:suppressAutoHyphens w:val="0"/>
        <w:spacing w:after="120" w:line="280" w:lineRule="atLeast"/>
        <w:jc w:val="both"/>
        <w:outlineLvl w:val="2"/>
        <w:rPr>
          <w:rFonts w:eastAsia="Calibri"/>
          <w:lang w:val="en-GB" w:eastAsia="en-US"/>
        </w:rPr>
      </w:pPr>
      <w:r w:rsidRPr="00272C6A">
        <w:rPr>
          <w:rFonts w:eastAsia="Calibri"/>
          <w:lang w:eastAsia="en-US"/>
        </w:rPr>
        <w:t xml:space="preserve">Piccardi L., Tondi G., Cello G., 2006 - Geo-structural evidence for active oblique estension in South-Central Italy. In: Pinter N., Grenerczy G., Weber J., Stein S., Medak D. (Eds.), The Adria microplate: GPS geodesy, tectonics and Hazard. </w:t>
      </w:r>
      <w:r w:rsidRPr="0096726C">
        <w:rPr>
          <w:rFonts w:eastAsia="Calibri"/>
          <w:lang w:val="en-GB" w:eastAsia="en-US"/>
        </w:rPr>
        <w:t>NATO Science Series IV-Earth and Environmental Sciences, Springer, Vol. 61., 95-108</w:t>
      </w:r>
    </w:p>
    <w:p w:rsidR="0096726C" w:rsidRPr="0096726C" w:rsidRDefault="0096726C" w:rsidP="0096726C">
      <w:pPr>
        <w:suppressAutoHyphens w:val="0"/>
        <w:spacing w:after="120" w:line="280" w:lineRule="atLeast"/>
        <w:jc w:val="both"/>
        <w:outlineLvl w:val="2"/>
        <w:rPr>
          <w:rFonts w:eastAsia="Calibri"/>
          <w:lang w:val="en-GB" w:eastAsia="en-US"/>
        </w:rPr>
      </w:pPr>
      <w:r w:rsidRPr="0096726C">
        <w:rPr>
          <w:rFonts w:eastAsia="Calibri"/>
          <w:lang w:val="en-GB" w:eastAsia="en-US"/>
        </w:rPr>
        <w:t>Royden, L., Patacca, E., Scandone, P. 1987 - Segmentation and configuration of subducted lithosphere in Italy: an important control on thrust belt and foredeep basin evolution. Geo</w:t>
      </w:r>
      <w:r w:rsidRPr="0096726C">
        <w:rPr>
          <w:rFonts w:eastAsia="Calibri"/>
          <w:lang w:val="en-GB" w:eastAsia="en-US"/>
        </w:rPr>
        <w:t>l</w:t>
      </w:r>
      <w:r w:rsidRPr="0096726C">
        <w:rPr>
          <w:rFonts w:eastAsia="Calibri"/>
          <w:lang w:val="en-GB" w:eastAsia="en-US"/>
        </w:rPr>
        <w:t>ogy, 15, 714–717</w:t>
      </w:r>
    </w:p>
    <w:p w:rsidR="0096726C" w:rsidRPr="0096726C" w:rsidRDefault="0096726C" w:rsidP="0096726C">
      <w:pPr>
        <w:suppressAutoHyphens w:val="0"/>
        <w:spacing w:after="120" w:line="280" w:lineRule="atLeast"/>
        <w:jc w:val="both"/>
        <w:outlineLvl w:val="2"/>
        <w:rPr>
          <w:rFonts w:eastAsia="Calibri"/>
          <w:lang w:val="en-GB" w:eastAsia="en-US"/>
        </w:rPr>
      </w:pPr>
      <w:r w:rsidRPr="0096726C">
        <w:rPr>
          <w:rFonts w:eastAsia="Calibri"/>
          <w:lang w:val="en-GB" w:eastAsia="en-US"/>
        </w:rPr>
        <w:t>Sagnotti, L. 1992 - Paleomagnetic evidence for a Pleistocene counterclockwise rotation of the Sant’Arcangelo Basin, Southern Italy. Geophys. Res. Lett. 19 (2), 135–138</w:t>
      </w:r>
    </w:p>
    <w:p w:rsidR="0096726C" w:rsidRPr="0096726C" w:rsidRDefault="0096726C" w:rsidP="0096726C">
      <w:pPr>
        <w:suppressAutoHyphens w:val="0"/>
        <w:spacing w:after="120" w:line="280" w:lineRule="atLeast"/>
        <w:jc w:val="both"/>
        <w:outlineLvl w:val="2"/>
        <w:rPr>
          <w:rFonts w:eastAsia="Calibri"/>
          <w:highlight w:val="yellow"/>
          <w:lang w:val="en-GB" w:eastAsia="en-US"/>
        </w:rPr>
      </w:pPr>
      <w:r w:rsidRPr="0096726C">
        <w:rPr>
          <w:rFonts w:eastAsia="Calibri"/>
          <w:lang w:val="en-GB" w:eastAsia="en-US"/>
        </w:rPr>
        <w:t>Salvini, F., Billi, A., Wise, D.U. 1999 - Strike-slip fault-propagation cleavage in carbonate rocks: the Mattinata Fault Zone, Southern Apennines, Italy. J. Struct. Geol., 21, 1731-1749</w:t>
      </w:r>
    </w:p>
    <w:p w:rsidR="0096726C" w:rsidRDefault="0096726C" w:rsidP="0096726C">
      <w:pPr>
        <w:suppressAutoHyphens w:val="0"/>
        <w:spacing w:after="120" w:line="280" w:lineRule="atLeast"/>
        <w:jc w:val="both"/>
        <w:outlineLvl w:val="2"/>
        <w:rPr>
          <w:rFonts w:eastAsia="Calibri"/>
          <w:lang w:val="en-GB" w:eastAsia="en-US"/>
        </w:rPr>
      </w:pPr>
      <w:r w:rsidRPr="0096726C">
        <w:rPr>
          <w:rFonts w:eastAsia="Calibri"/>
          <w:lang w:val="en-GB" w:eastAsia="en-US"/>
        </w:rPr>
        <w:t>Scheepers, P.J.J., Langereis, C.G., Hilgen, F.J. 1993 - Counter-clockwise rotations in the southern Apennines during the Pleistocene: paleomagnetic evidence from the Matera area. Tectonophysics 225, 379-410</w:t>
      </w:r>
    </w:p>
    <w:p w:rsidR="00350AFE" w:rsidRPr="00350AFE" w:rsidRDefault="00350AFE" w:rsidP="00350AFE">
      <w:pPr>
        <w:suppressAutoHyphens w:val="0"/>
        <w:spacing w:after="120" w:line="280" w:lineRule="atLeast"/>
        <w:jc w:val="both"/>
        <w:outlineLvl w:val="2"/>
        <w:rPr>
          <w:rFonts w:eastAsia="Calibri"/>
          <w:iCs/>
          <w:lang w:val="en-GB" w:eastAsia="en-US"/>
        </w:rPr>
      </w:pPr>
      <w:r w:rsidRPr="00350AFE">
        <w:rPr>
          <w:rFonts w:eastAsia="Calibri"/>
          <w:bCs/>
          <w:iCs/>
          <w:lang w:val="en-GB" w:eastAsia="en-US"/>
        </w:rPr>
        <w:t>Soloviev,</w:t>
      </w:r>
      <w:r w:rsidRPr="00350AFE">
        <w:rPr>
          <w:rFonts w:eastAsia="Calibri"/>
          <w:iCs/>
          <w:lang w:val="en-GB" w:eastAsia="en-US"/>
        </w:rPr>
        <w:t xml:space="preserve"> A.A., Gvishiani, A.D., Gorshkov, A.I., Dobrovolsky, M.N., Novikova, O.V., 2014. Recognition of earthquake-prone areas:</w:t>
      </w:r>
      <w:r>
        <w:rPr>
          <w:rFonts w:eastAsia="Calibri"/>
          <w:iCs/>
          <w:lang w:val="en-GB" w:eastAsia="en-US"/>
        </w:rPr>
        <w:t xml:space="preserve"> </w:t>
      </w:r>
      <w:r w:rsidRPr="00350AFE">
        <w:rPr>
          <w:rFonts w:eastAsia="Calibri"/>
          <w:iCs/>
          <w:lang w:val="en-GB" w:eastAsia="en-US"/>
        </w:rPr>
        <w:t>methodology and analysis of the results, Izvestiya, Physics of the Solid Earth, 50, 151</w:t>
      </w:r>
      <w:r>
        <w:rPr>
          <w:rFonts w:eastAsia="Calibri"/>
          <w:iCs/>
          <w:lang w:val="en-GB" w:eastAsia="en-US"/>
        </w:rPr>
        <w:t>-</w:t>
      </w:r>
      <w:r w:rsidRPr="00350AFE">
        <w:rPr>
          <w:rFonts w:eastAsia="Calibri"/>
          <w:iCs/>
          <w:lang w:val="en-GB" w:eastAsia="en-US"/>
        </w:rPr>
        <w:t>168</w:t>
      </w:r>
      <w:r>
        <w:rPr>
          <w:rFonts w:eastAsia="Calibri"/>
          <w:iCs/>
          <w:lang w:val="en-GB" w:eastAsia="en-US"/>
        </w:rPr>
        <w:t xml:space="preserve"> </w:t>
      </w:r>
      <w:r w:rsidRPr="00350AFE">
        <w:rPr>
          <w:rFonts w:eastAsia="Calibri"/>
          <w:iCs/>
          <w:lang w:val="en-GB" w:eastAsia="en-US"/>
        </w:rPr>
        <w:t xml:space="preserve"> </w:t>
      </w:r>
    </w:p>
    <w:p w:rsidR="0096726C" w:rsidRPr="0096726C" w:rsidRDefault="0096726C" w:rsidP="0096726C">
      <w:pPr>
        <w:suppressAutoHyphens w:val="0"/>
        <w:spacing w:after="120" w:line="280" w:lineRule="atLeast"/>
        <w:jc w:val="both"/>
        <w:outlineLvl w:val="2"/>
        <w:rPr>
          <w:rFonts w:eastAsia="Calibri"/>
          <w:bCs/>
          <w:lang w:val="en-GB" w:eastAsia="en-US"/>
        </w:rPr>
      </w:pPr>
      <w:r w:rsidRPr="0096726C">
        <w:rPr>
          <w:rFonts w:eastAsia="Calibri"/>
          <w:bCs/>
          <w:lang w:val="en-GB" w:eastAsia="en-US"/>
        </w:rPr>
        <w:t>Tadolini</w:t>
      </w:r>
      <w:r w:rsidR="00E934A5">
        <w:rPr>
          <w:rFonts w:eastAsia="Calibri"/>
          <w:bCs/>
          <w:lang w:val="en-GB" w:eastAsia="en-US"/>
        </w:rPr>
        <w:t>,</w:t>
      </w:r>
      <w:r w:rsidR="00E934A5" w:rsidRPr="00E934A5">
        <w:rPr>
          <w:rFonts w:eastAsia="Calibri"/>
          <w:bCs/>
          <w:lang w:val="en-GB" w:eastAsia="en-US"/>
        </w:rPr>
        <w:t xml:space="preserve"> </w:t>
      </w:r>
      <w:r w:rsidR="00E934A5" w:rsidRPr="0096726C">
        <w:rPr>
          <w:rFonts w:eastAsia="Calibri"/>
          <w:bCs/>
          <w:lang w:val="en-GB" w:eastAsia="en-US"/>
        </w:rPr>
        <w:t>T.</w:t>
      </w:r>
      <w:r w:rsidRPr="0096726C">
        <w:rPr>
          <w:rFonts w:eastAsia="Calibri"/>
          <w:bCs/>
          <w:lang w:val="en-GB" w:eastAsia="en-US"/>
        </w:rPr>
        <w:t>, Bruno</w:t>
      </w:r>
      <w:r w:rsidR="00E934A5">
        <w:rPr>
          <w:rFonts w:eastAsia="Calibri"/>
          <w:bCs/>
          <w:lang w:val="en-GB" w:eastAsia="en-US"/>
        </w:rPr>
        <w:t>,</w:t>
      </w:r>
      <w:r w:rsidRPr="0096726C">
        <w:rPr>
          <w:rFonts w:eastAsia="Calibri"/>
          <w:bCs/>
          <w:lang w:val="en-GB" w:eastAsia="en-US"/>
        </w:rPr>
        <w:t xml:space="preserve"> </w:t>
      </w:r>
      <w:r w:rsidR="00E934A5" w:rsidRPr="0096726C">
        <w:rPr>
          <w:rFonts w:eastAsia="Calibri"/>
          <w:bCs/>
          <w:lang w:val="en-GB" w:eastAsia="en-US"/>
        </w:rPr>
        <w:t xml:space="preserve">G. </w:t>
      </w:r>
      <w:r w:rsidRPr="0096726C">
        <w:rPr>
          <w:rFonts w:eastAsia="Calibri"/>
          <w:bCs/>
          <w:lang w:val="en-GB" w:eastAsia="en-US"/>
        </w:rPr>
        <w:t>(1990): "</w:t>
      </w:r>
      <w:r>
        <w:rPr>
          <w:rFonts w:eastAsia="Calibri"/>
          <w:bCs/>
          <w:lang w:val="en-GB" w:eastAsia="en-US"/>
        </w:rPr>
        <w:t>T</w:t>
      </w:r>
      <w:r w:rsidRPr="0096726C">
        <w:rPr>
          <w:rFonts w:eastAsia="Calibri"/>
          <w:bCs/>
          <w:lang w:val="en-GB" w:eastAsia="en-US"/>
        </w:rPr>
        <w:t>he  influence  of  geostructural setting upon water the</w:t>
      </w:r>
      <w:r w:rsidRPr="0096726C">
        <w:rPr>
          <w:rFonts w:eastAsia="Calibri"/>
          <w:bCs/>
          <w:lang w:val="en-GB" w:eastAsia="en-US"/>
        </w:rPr>
        <w:t>r</w:t>
      </w:r>
      <w:r w:rsidRPr="0096726C">
        <w:rPr>
          <w:rFonts w:eastAsia="Calibri"/>
          <w:bCs/>
          <w:lang w:val="en-GB" w:eastAsia="en-US"/>
        </w:rPr>
        <w:t xml:space="preserve">momineralization in certain areas of </w:t>
      </w:r>
      <w:r>
        <w:rPr>
          <w:rFonts w:eastAsia="Calibri"/>
          <w:bCs/>
          <w:lang w:val="en-GB" w:eastAsia="en-US"/>
        </w:rPr>
        <w:t>A</w:t>
      </w:r>
      <w:r w:rsidRPr="0096726C">
        <w:rPr>
          <w:rFonts w:eastAsia="Calibri"/>
          <w:bCs/>
          <w:lang w:val="en-GB" w:eastAsia="en-US"/>
        </w:rPr>
        <w:t xml:space="preserve">pulia (southern </w:t>
      </w:r>
      <w:r>
        <w:rPr>
          <w:rFonts w:eastAsia="Calibri"/>
          <w:bCs/>
          <w:lang w:val="en-GB" w:eastAsia="en-US"/>
        </w:rPr>
        <w:t>I</w:t>
      </w:r>
      <w:r w:rsidRPr="0096726C">
        <w:rPr>
          <w:rFonts w:eastAsia="Calibri"/>
          <w:bCs/>
          <w:lang w:val="en-GB" w:eastAsia="en-US"/>
        </w:rPr>
        <w:t>taly)", Proc. International Sympos</w:t>
      </w:r>
      <w:r w:rsidRPr="0096726C">
        <w:rPr>
          <w:rFonts w:eastAsia="Calibri"/>
          <w:bCs/>
          <w:lang w:val="en-GB" w:eastAsia="en-US"/>
        </w:rPr>
        <w:t>i</w:t>
      </w:r>
      <w:r w:rsidRPr="0096726C">
        <w:rPr>
          <w:rFonts w:eastAsia="Calibri"/>
          <w:bCs/>
          <w:lang w:val="en-GB" w:eastAsia="en-US"/>
        </w:rPr>
        <w:t xml:space="preserve">um and  field  seminar  on hydrogeological processes in karst terranes, Antalya, Turkey; </w:t>
      </w:r>
    </w:p>
    <w:p w:rsidR="0096726C" w:rsidRPr="0096726C" w:rsidRDefault="0096726C" w:rsidP="0096726C">
      <w:pPr>
        <w:suppressAutoHyphens w:val="0"/>
        <w:spacing w:after="120" w:line="280" w:lineRule="atLeast"/>
        <w:jc w:val="both"/>
        <w:outlineLvl w:val="2"/>
        <w:rPr>
          <w:rFonts w:eastAsia="Calibri"/>
          <w:lang w:eastAsia="en-US"/>
        </w:rPr>
      </w:pPr>
      <w:r w:rsidRPr="0096726C">
        <w:rPr>
          <w:rFonts w:eastAsia="Calibri"/>
          <w:lang w:val="en-GB" w:eastAsia="en-US"/>
        </w:rPr>
        <w:t>Tondi, E., Piccardi, L., Cacon, S., Kontny, B., Cello, G. 2005 - Structural and time co</w:t>
      </w:r>
      <w:r w:rsidRPr="0096726C">
        <w:rPr>
          <w:rFonts w:eastAsia="Calibri"/>
          <w:lang w:val="en-GB" w:eastAsia="en-US"/>
        </w:rPr>
        <w:t>n</w:t>
      </w:r>
      <w:r w:rsidRPr="0096726C">
        <w:rPr>
          <w:rFonts w:eastAsia="Calibri"/>
          <w:lang w:val="en-GB" w:eastAsia="en-US"/>
        </w:rPr>
        <w:t xml:space="preserve">straints for dextral shear along the seismogenic Mattinata Fault (Gargano, southern Italy). </w:t>
      </w:r>
      <w:r w:rsidRPr="0096726C">
        <w:rPr>
          <w:rFonts w:eastAsia="Calibri"/>
          <w:lang w:eastAsia="en-US"/>
        </w:rPr>
        <w:t>J. Geodynamics, 40, 134–152</w:t>
      </w:r>
    </w:p>
    <w:p w:rsidR="0096726C" w:rsidRPr="0096726C" w:rsidRDefault="0096726C" w:rsidP="0096726C">
      <w:pPr>
        <w:suppressAutoHyphens w:val="0"/>
        <w:spacing w:after="120" w:line="280" w:lineRule="atLeast"/>
        <w:jc w:val="both"/>
        <w:outlineLvl w:val="2"/>
        <w:rPr>
          <w:rFonts w:eastAsia="Calibri"/>
          <w:lang w:eastAsia="en-US"/>
        </w:rPr>
      </w:pPr>
      <w:r w:rsidRPr="0096726C">
        <w:rPr>
          <w:rFonts w:eastAsia="Calibri"/>
          <w:lang w:eastAsia="en-US"/>
        </w:rPr>
        <w:t>Tozzi M. 1992 - Rotazioni e faglie trascorrenti nell'avampaese adriatico: elementi per una revisione. Studi Geologici Camerti, volume speciale (1992/2), CROP 1-1A, 123-130</w:t>
      </w:r>
    </w:p>
    <w:p w:rsidR="0096726C" w:rsidRPr="0096726C" w:rsidRDefault="0096726C" w:rsidP="0096726C">
      <w:pPr>
        <w:suppressAutoHyphens w:val="0"/>
        <w:spacing w:after="120" w:line="280" w:lineRule="atLeast"/>
        <w:jc w:val="both"/>
        <w:outlineLvl w:val="2"/>
        <w:rPr>
          <w:rFonts w:eastAsia="Calibri"/>
          <w:lang w:eastAsia="en-US"/>
        </w:rPr>
      </w:pPr>
      <w:r w:rsidRPr="0096726C">
        <w:rPr>
          <w:rFonts w:eastAsia="Calibri"/>
          <w:lang w:eastAsia="en-US"/>
        </w:rPr>
        <w:t xml:space="preserve">Tozzi M. 1993 - Assetto tettonico dell'avampaese apulo meridionale (Murge meridionali-Salento) sulla base dei dati strutturali.  </w:t>
      </w:r>
      <w:r w:rsidRPr="0096726C">
        <w:rPr>
          <w:rFonts w:eastAsia="Calibri"/>
          <w:iCs/>
          <w:lang w:eastAsia="en-US"/>
        </w:rPr>
        <w:t xml:space="preserve">Geologica Romana, </w:t>
      </w:r>
      <w:r w:rsidRPr="0096726C">
        <w:rPr>
          <w:rFonts w:eastAsia="Calibri"/>
          <w:lang w:eastAsia="en-US"/>
        </w:rPr>
        <w:t>29, 95-111</w:t>
      </w:r>
      <w:r w:rsidRPr="0096726C">
        <w:rPr>
          <w:rFonts w:eastAsia="Calibri"/>
          <w:iCs/>
          <w:lang w:eastAsia="en-US"/>
        </w:rPr>
        <w:t>, Roma</w:t>
      </w:r>
    </w:p>
    <w:p w:rsidR="00350AFE" w:rsidRPr="00A94660" w:rsidRDefault="00350AFE" w:rsidP="00350AFE">
      <w:pPr>
        <w:suppressAutoHyphens w:val="0"/>
        <w:spacing w:after="120" w:line="280" w:lineRule="atLeast"/>
        <w:jc w:val="both"/>
        <w:outlineLvl w:val="2"/>
        <w:rPr>
          <w:rFonts w:eastAsia="Calibri"/>
          <w:iCs/>
          <w:lang w:val="en-GB" w:eastAsia="en-US"/>
        </w:rPr>
      </w:pPr>
      <w:r w:rsidRPr="00350AFE">
        <w:rPr>
          <w:rFonts w:eastAsia="Calibri"/>
          <w:bCs/>
          <w:iCs/>
          <w:lang w:eastAsia="en-US"/>
        </w:rPr>
        <w:t xml:space="preserve">Walters, </w:t>
      </w:r>
      <w:r w:rsidRPr="00350AFE">
        <w:rPr>
          <w:rFonts w:eastAsia="Calibri"/>
          <w:iCs/>
          <w:lang w:eastAsia="en-US"/>
        </w:rPr>
        <w:t>R.J., Gregory, L.C., Wedmore, L.N.J., Craig, T.J., McCaffrey, K., Wilkinson, M., Chen, J., Li, Z., Elliott, J.R., Goodall, H., Iezzi, F., Livio, F., Michetti, A.M., Roberts, G., Vittori, E., 2018</w:t>
      </w:r>
      <w:r>
        <w:rPr>
          <w:rFonts w:eastAsia="Calibri"/>
          <w:iCs/>
          <w:lang w:eastAsia="en-US"/>
        </w:rPr>
        <w:t xml:space="preserve"> -</w:t>
      </w:r>
      <w:r w:rsidRPr="00350AFE">
        <w:rPr>
          <w:rFonts w:eastAsia="Calibri"/>
          <w:iCs/>
          <w:lang w:eastAsia="en-US"/>
        </w:rPr>
        <w:t xml:space="preserve"> Dual control of fault intersections on stop-start rupture in the 2016 Ce</w:t>
      </w:r>
      <w:r w:rsidRPr="00350AFE">
        <w:rPr>
          <w:rFonts w:eastAsia="Calibri"/>
          <w:iCs/>
          <w:lang w:eastAsia="en-US"/>
        </w:rPr>
        <w:t>n</w:t>
      </w:r>
      <w:r w:rsidRPr="00350AFE">
        <w:rPr>
          <w:rFonts w:eastAsia="Calibri"/>
          <w:iCs/>
          <w:lang w:eastAsia="en-US"/>
        </w:rPr>
        <w:t xml:space="preserve">tral Italy seismic sequence. </w:t>
      </w:r>
      <w:r w:rsidRPr="00A94660">
        <w:rPr>
          <w:rFonts w:eastAsia="Calibri"/>
          <w:iCs/>
          <w:lang w:val="en-GB" w:eastAsia="en-US"/>
        </w:rPr>
        <w:t xml:space="preserve">Earth and Planetary Science Letters, 500, 1-14 </w:t>
      </w:r>
    </w:p>
    <w:p w:rsidR="0096726C" w:rsidRPr="00350AFE" w:rsidRDefault="0096726C" w:rsidP="0096726C">
      <w:pPr>
        <w:suppressAutoHyphens w:val="0"/>
        <w:spacing w:after="120" w:line="280" w:lineRule="atLeast"/>
        <w:jc w:val="both"/>
        <w:outlineLvl w:val="2"/>
        <w:rPr>
          <w:rFonts w:eastAsia="Calibri"/>
          <w:lang w:val="en-GB" w:eastAsia="en-US"/>
        </w:rPr>
      </w:pPr>
      <w:r w:rsidRPr="00350AFE">
        <w:rPr>
          <w:rFonts w:eastAsia="Calibri"/>
          <w:lang w:val="en-GB" w:eastAsia="en-US"/>
        </w:rPr>
        <w:t>Zambrano M., Tondi E., Korneva I., Panza E., Agosta F., Janiseck J. M. &amp; Giorgioni M. 2016 - Fracture properties analysis and discrete fracture network modelling of faulted tight limestones, Murge Plateau, Italy.  Italian Journal of Geosciences, Vol. 135, No. 1, 55-67</w:t>
      </w:r>
    </w:p>
    <w:p w:rsidR="0096726C" w:rsidRPr="00350AFE" w:rsidRDefault="0096726C" w:rsidP="008A06DB">
      <w:pPr>
        <w:tabs>
          <w:tab w:val="left" w:pos="4253"/>
          <w:tab w:val="left" w:pos="4962"/>
          <w:tab w:val="left" w:pos="5245"/>
        </w:tabs>
        <w:spacing w:line="276" w:lineRule="auto"/>
        <w:jc w:val="both"/>
        <w:rPr>
          <w:rFonts w:asciiTheme="majorHAnsi" w:hAnsiTheme="majorHAnsi"/>
          <w:sz w:val="16"/>
          <w:lang w:val="en-GB"/>
        </w:rPr>
      </w:pPr>
    </w:p>
    <w:p w:rsidR="0096726C" w:rsidRPr="00350AFE" w:rsidRDefault="0096726C" w:rsidP="008A06DB">
      <w:pPr>
        <w:tabs>
          <w:tab w:val="left" w:pos="4253"/>
          <w:tab w:val="left" w:pos="4962"/>
          <w:tab w:val="left" w:pos="5245"/>
        </w:tabs>
        <w:spacing w:line="276" w:lineRule="auto"/>
        <w:jc w:val="both"/>
        <w:rPr>
          <w:rFonts w:asciiTheme="majorHAnsi" w:hAnsiTheme="majorHAnsi"/>
          <w:sz w:val="16"/>
          <w:lang w:val="en-GB"/>
        </w:rPr>
      </w:pPr>
    </w:p>
    <w:p w:rsidR="0096726C" w:rsidRPr="00350AFE" w:rsidRDefault="0096726C" w:rsidP="008A06DB">
      <w:pPr>
        <w:tabs>
          <w:tab w:val="left" w:pos="4253"/>
          <w:tab w:val="left" w:pos="4962"/>
          <w:tab w:val="left" w:pos="5245"/>
        </w:tabs>
        <w:spacing w:line="276" w:lineRule="auto"/>
        <w:jc w:val="both"/>
        <w:rPr>
          <w:rFonts w:asciiTheme="majorHAnsi" w:hAnsiTheme="majorHAnsi"/>
          <w:sz w:val="16"/>
          <w:lang w:val="en-GB"/>
        </w:rPr>
      </w:pPr>
    </w:p>
    <w:sectPr w:rsidR="0096726C" w:rsidRPr="00350AFE" w:rsidSect="001A72A7">
      <w:headerReference w:type="default" r:id="rId16"/>
      <w:footerReference w:type="even" r:id="rId17"/>
      <w:footerReference w:type="default" r:id="rId18"/>
      <w:pgSz w:w="11901" w:h="16817"/>
      <w:pgMar w:top="2268" w:right="1531" w:bottom="1134" w:left="1531" w:header="992" w:footer="709" w:gutter="0"/>
      <w:cols w:space="720"/>
      <w:formProt w:val="0"/>
      <w:docGrid w:linePitch="10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91B75" w:rsidRDefault="00191B75">
      <w:r>
        <w:separator/>
      </w:r>
    </w:p>
  </w:endnote>
  <w:endnote w:type="continuationSeparator" w:id="0">
    <w:p w:rsidR="00191B75" w:rsidRDefault="00191B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altName w:val="ESRI NIMA VMAP1&amp;2 PT"/>
    <w:panose1 w:val="00000400000000000000"/>
    <w:charset w:val="01"/>
    <w:family w:val="roman"/>
    <w:notTrueType/>
    <w:pitch w:val="variable"/>
    <w:sig w:usb0="00002000" w:usb1="00000000" w:usb2="00000000" w:usb3="00000000" w:csb0="00000000" w:csb1="00000000"/>
  </w:font>
  <w:font w:name="Arial">
    <w:panose1 w:val="020B0604020202020204"/>
    <w:charset w:val="00"/>
    <w:family w:val="swiss"/>
    <w:pitch w:val="variable"/>
    <w:sig w:usb0="E0002EFF" w:usb1="C000785B" w:usb2="00000009" w:usb3="00000000" w:csb0="000001FF" w:csb1="00000000"/>
  </w:font>
  <w:font w:name="Swis721 BdOul BT">
    <w:altName w:val="FuturaBlack BT"/>
    <w:charset w:val="00"/>
    <w:family w:val="decorative"/>
    <w:pitch w:val="variable"/>
    <w:sig w:usb0="00000001" w:usb1="00000000" w:usb2="00000000" w:usb3="00000000" w:csb0="0000001B"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Numeropagina"/>
      </w:rPr>
      <w:id w:val="1600530816"/>
      <w:docPartObj>
        <w:docPartGallery w:val="Page Numbers (Bottom of Page)"/>
        <w:docPartUnique/>
      </w:docPartObj>
    </w:sdtPr>
    <w:sdtContent>
      <w:p w:rsidR="00874707" w:rsidRDefault="00874707" w:rsidP="00EF762F">
        <w:pPr>
          <w:pStyle w:val="Pidipagina"/>
          <w:framePr w:wrap="none" w:vAnchor="text" w:hAnchor="margin" w:xAlign="center" w:y="1"/>
          <w:rPr>
            <w:rStyle w:val="Numeropagina"/>
          </w:rPr>
        </w:pPr>
        <w:r>
          <w:rPr>
            <w:rStyle w:val="Numeropagina"/>
          </w:rPr>
          <w:fldChar w:fldCharType="begin"/>
        </w:r>
        <w:r>
          <w:rPr>
            <w:rStyle w:val="Numeropagina"/>
          </w:rPr>
          <w:instrText xml:space="preserve"> PAGE </w:instrText>
        </w:r>
        <w:r>
          <w:rPr>
            <w:rStyle w:val="Numeropagina"/>
          </w:rPr>
          <w:fldChar w:fldCharType="end"/>
        </w:r>
      </w:p>
    </w:sdtContent>
  </w:sdt>
  <w:p w:rsidR="00874707" w:rsidRDefault="00874707">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4707" w:rsidRDefault="00874707">
    <w:pPr>
      <w:pStyle w:val="Pidipagina"/>
      <w:rPr>
        <w:rFonts w:ascii="Calibri" w:hAnsi="Calibri"/>
        <w:b/>
        <w:color w:val="000000"/>
        <w:sz w:val="22"/>
      </w:rPr>
    </w:pPr>
    <w:r>
      <w:rPr>
        <w:rFonts w:ascii="Calibri" w:hAnsi="Calibri"/>
        <w:b/>
        <w:noProof/>
        <w:sz w:val="28"/>
        <w:lang w:eastAsia="it-IT"/>
      </w:rPr>
      <mc:AlternateContent>
        <mc:Choice Requires="wps">
          <w:drawing>
            <wp:anchor distT="0" distB="0" distL="114300" distR="114300" simplePos="0" relativeHeight="251656704" behindDoc="1" locked="0" layoutInCell="1" allowOverlap="1">
              <wp:simplePos x="0" y="0"/>
              <wp:positionH relativeFrom="column">
                <wp:posOffset>-65405</wp:posOffset>
              </wp:positionH>
              <wp:positionV relativeFrom="paragraph">
                <wp:posOffset>-45085</wp:posOffset>
              </wp:positionV>
              <wp:extent cx="5778500" cy="0"/>
              <wp:effectExtent l="10795" t="12065" r="11430" b="6985"/>
              <wp:wrapTight wrapText="bothSides">
                <wp:wrapPolygon edited="0">
                  <wp:start x="0" y="-2147483648"/>
                  <wp:lineTo x="608" y="-2147483648"/>
                  <wp:lineTo x="608" y="-2147483648"/>
                  <wp:lineTo x="0" y="-2147483648"/>
                  <wp:lineTo x="0" y="-2147483648"/>
                </wp:wrapPolygon>
              </wp:wrapTight>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78500" cy="0"/>
                      </a:xfrm>
                      <a:prstGeom prst="line">
                        <a:avLst/>
                      </a:prstGeom>
                      <a:noFill/>
                      <a:ln w="12600">
                        <a:solidFill>
                          <a:schemeClr val="tx2">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Line 1"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5pt,-3.55pt" to="449.85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" strokecolor="#1f497d [3215]" strokeweight=".35mm">
              <w10:wrap type="tight"/>
            </v:line>
          </w:pict>
        </mc:Fallback>
      </mc:AlternateContent>
    </w:r>
    <w:hyperlink r:id="rId1"/>
    <w:r>
      <w:rPr>
        <w:rStyle w:val="CollegamentoInternet"/>
        <w:rFonts w:ascii="Calibri" w:hAnsi="Calibri"/>
        <w:b/>
        <w:color w:val="000000"/>
        <w:sz w:val="22"/>
        <w:u w:val="none"/>
      </w:rPr>
      <w:t>www.regione.puglia.it</w:t>
    </w:r>
  </w:p>
  <w:sdt>
    <w:sdtPr>
      <w:rPr>
        <w:rStyle w:val="Numeropagina"/>
      </w:rPr>
      <w:id w:val="-1243861090"/>
      <w:docPartObj>
        <w:docPartGallery w:val="Page Numbers (Bottom of Page)"/>
        <w:docPartUnique/>
      </w:docPartObj>
    </w:sdtPr>
    <w:sdtContent>
      <w:p w:rsidR="00874707" w:rsidRDefault="00874707" w:rsidP="001A72A7">
        <w:pPr>
          <w:pStyle w:val="Pidipagina"/>
          <w:framePr w:wrap="none" w:vAnchor="text" w:hAnchor="margin" w:xAlign="center" w:y="-3"/>
          <w:rPr>
            <w:rStyle w:val="Numeropagina"/>
          </w:rPr>
        </w:pPr>
        <w:r>
          <w:rPr>
            <w:rStyle w:val="Numeropagina"/>
          </w:rPr>
          <w:fldChar w:fldCharType="begin"/>
        </w:r>
        <w:r>
          <w:rPr>
            <w:rStyle w:val="Numeropagina"/>
          </w:rPr>
          <w:instrText xml:space="preserve"> PAGE </w:instrText>
        </w:r>
        <w:r>
          <w:rPr>
            <w:rStyle w:val="Numeropagina"/>
          </w:rPr>
          <w:fldChar w:fldCharType="separate"/>
        </w:r>
        <w:r w:rsidR="003F2451">
          <w:rPr>
            <w:rStyle w:val="Numeropagina"/>
            <w:noProof/>
          </w:rPr>
          <w:t>1</w:t>
        </w:r>
        <w:r>
          <w:rPr>
            <w:rStyle w:val="Numeropagina"/>
          </w:rPr>
          <w:fldChar w:fldCharType="end"/>
        </w:r>
      </w:p>
    </w:sdtContent>
  </w:sdt>
  <w:p w:rsidR="00874707" w:rsidRDefault="00874707">
    <w:pPr>
      <w:pStyle w:val="Pidipagina"/>
      <w:rPr>
        <w:rFonts w:ascii="Calibri" w:hAnsi="Calibri"/>
        <w:b/>
        <w:sz w:val="28"/>
      </w:rPr>
    </w:pPr>
  </w:p>
  <w:p w:rsidR="00874707" w:rsidRDefault="00874707">
    <w:pPr>
      <w:spacing w:line="210" w:lineRule="exact"/>
      <w:rPr>
        <w:rFonts w:ascii="Calibri" w:hAnsi="Calibri"/>
        <w:sz w:val="18"/>
        <w:lang w:val="en-G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91B75" w:rsidRDefault="00191B75">
      <w:r>
        <w:separator/>
      </w:r>
    </w:p>
  </w:footnote>
  <w:footnote w:type="continuationSeparator" w:id="0">
    <w:p w:rsidR="00191B75" w:rsidRDefault="00191B7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74707" w:rsidRDefault="00874707">
    <w:pPr>
      <w:spacing w:line="216" w:lineRule="auto"/>
      <w:ind w:left="3402"/>
      <w:rPr>
        <w:rFonts w:ascii="Calibri" w:hAnsi="Calibri"/>
        <w:b/>
        <w:color w:val="008000"/>
        <w:sz w:val="10"/>
      </w:rPr>
    </w:pPr>
    <w:r>
      <w:rPr>
        <w:noProof/>
      </w:rPr>
      <w:drawing>
        <wp:anchor distT="0" distB="0" distL="114300" distR="114300" simplePos="0" relativeHeight="251655680" behindDoc="0" locked="0" layoutInCell="1" allowOverlap="1">
          <wp:simplePos x="0" y="0"/>
          <wp:positionH relativeFrom="column">
            <wp:posOffset>-1125119</wp:posOffset>
          </wp:positionH>
          <wp:positionV relativeFrom="paragraph">
            <wp:posOffset>-586105</wp:posOffset>
          </wp:positionV>
          <wp:extent cx="2184400" cy="1060450"/>
          <wp:effectExtent l="0" t="0" r="0" b="0"/>
          <wp:wrapTight wrapText="bothSides">
            <wp:wrapPolygon edited="0">
              <wp:start x="-226" y="0"/>
              <wp:lineTo x="-226" y="21298"/>
              <wp:lineTo x="21660" y="21298"/>
              <wp:lineTo x="21660" y="0"/>
              <wp:lineTo x="-226" y="0"/>
            </wp:wrapPolygon>
          </wp:wrapTight>
          <wp:docPr id="1"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30"/>
                  <pic:cNvPicPr>
                    <a:picLocks noChangeAspect="1" noChangeArrowheads="1"/>
                  </pic:cNvPicPr>
                </pic:nvPicPr>
                <pic:blipFill>
                  <a:blip r:embed="rId1"/>
                  <a:stretch>
                    <a:fillRect/>
                  </a:stretch>
                </pic:blipFill>
                <pic:spPr bwMode="auto">
                  <a:xfrm>
                    <a:off x="0" y="0"/>
                    <a:ext cx="2184400" cy="1060450"/>
                  </a:xfrm>
                  <a:prstGeom prst="rect">
                    <a:avLst/>
                  </a:prstGeom>
                </pic:spPr>
              </pic:pic>
            </a:graphicData>
          </a:graphic>
        </wp:anchor>
      </w:drawing>
    </w:r>
    <w:r>
      <w:rPr>
        <w:rFonts w:ascii="Calibri" w:hAnsi="Calibri"/>
        <w:b/>
        <w:color w:val="008000"/>
        <w:sz w:val="10"/>
      </w:rPr>
      <w:tab/>
    </w:r>
  </w:p>
  <w:p w:rsidR="00874707" w:rsidRPr="006C463D" w:rsidRDefault="00874707" w:rsidP="001A72A7">
    <w:pPr>
      <w:spacing w:line="216" w:lineRule="auto"/>
      <w:ind w:left="2127" w:right="50"/>
      <w:rPr>
        <w:rFonts w:ascii="Calibri" w:hAnsi="Calibri"/>
        <w:b/>
        <w:sz w:val="21"/>
      </w:rPr>
    </w:pPr>
    <w:r w:rsidRPr="006C463D">
      <w:rPr>
        <w:rFonts w:ascii="Calibri" w:hAnsi="Calibri"/>
        <w:b/>
        <w:sz w:val="21"/>
      </w:rPr>
      <w:t>DIPARTIMENTO MOBILITÀ, QUALITÀ URBANA, OPERE PUBBLICHE, ECOLOGIA E PAESAGGIO</w:t>
    </w:r>
  </w:p>
  <w:p w:rsidR="00874707" w:rsidRDefault="00874707">
    <w:pPr>
      <w:spacing w:line="216" w:lineRule="auto"/>
      <w:ind w:left="2127"/>
      <w:rPr>
        <w:rFonts w:ascii="Calibri" w:hAnsi="Calibri"/>
        <w:b/>
        <w:sz w:val="21"/>
      </w:rPr>
    </w:pPr>
    <w:r>
      <w:rPr>
        <w:rFonts w:ascii="Calibri" w:hAnsi="Calibri"/>
        <w:b/>
        <w:sz w:val="21"/>
      </w:rPr>
      <w:tab/>
    </w:r>
  </w:p>
  <w:p w:rsidR="00874707" w:rsidRDefault="00874707" w:rsidP="001A72A7">
    <w:pPr>
      <w:tabs>
        <w:tab w:val="left" w:pos="4253"/>
        <w:tab w:val="left" w:pos="4395"/>
      </w:tabs>
      <w:spacing w:line="220" w:lineRule="exact"/>
      <w:rPr>
        <w:rFonts w:ascii="Calibri" w:hAnsi="Calibri"/>
        <w:b/>
        <w:sz w:val="21"/>
      </w:rPr>
    </w:pPr>
    <w:r>
      <w:rPr>
        <w:rFonts w:ascii="Calibri" w:hAnsi="Calibri"/>
        <w:b/>
        <w:noProof/>
        <w:sz w:val="21"/>
      </w:rPr>
      <mc:AlternateContent>
        <mc:Choice Requires="wps">
          <w:drawing>
            <wp:anchor distT="0" distB="0" distL="0" distR="0" simplePos="0" relativeHeight="251658752" behindDoc="1" locked="0" layoutInCell="1" allowOverlap="1">
              <wp:simplePos x="0" y="0"/>
              <wp:positionH relativeFrom="column">
                <wp:posOffset>-65405</wp:posOffset>
              </wp:positionH>
              <wp:positionV relativeFrom="paragraph">
                <wp:posOffset>141605</wp:posOffset>
              </wp:positionV>
              <wp:extent cx="5895340" cy="0"/>
              <wp:effectExtent l="10795" t="8255" r="8890" b="10795"/>
              <wp:wrapNone/>
              <wp:docPr id="5" name="Lin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95340" cy="0"/>
                      </a:xfrm>
                      <a:prstGeom prst="line">
                        <a:avLst/>
                      </a:prstGeom>
                      <a:noFill/>
                      <a:ln w="12600">
                        <a:solidFill>
                          <a:srgbClr val="05336E"/>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id="Line 39" o:spid="_x0000_s1026" style="position:absolute;z-index:-25165772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page" from="-5.15pt,11.15pt" to="459.05pt,1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" strokecolor="#05336e" strokeweight=".35mm"/>
          </w:pict>
        </mc:Fallback>
      </mc:AlternateContent>
    </w:r>
  </w:p>
  <w:p w:rsidR="00874707" w:rsidRDefault="00874707" w:rsidP="001A72A7">
    <w:pPr>
      <w:tabs>
        <w:tab w:val="left" w:pos="4253"/>
        <w:tab w:val="left" w:pos="4395"/>
      </w:tabs>
      <w:spacing w:line="220" w:lineRule="exact"/>
      <w:rPr>
        <w:rFonts w:ascii="Calibri" w:hAnsi="Calibri"/>
        <w:b/>
        <w:w w:val="90"/>
        <w:sz w:val="21"/>
      </w:rPr>
    </w:pPr>
    <w:r>
      <w:rPr>
        <w:rFonts w:ascii="Calibri" w:hAnsi="Calibri"/>
        <w:b/>
        <w:noProof/>
        <w:sz w:val="21"/>
      </w:rPr>
      <mc:AlternateContent>
        <mc:Choice Requires="wps">
          <w:drawing>
            <wp:anchor distT="0" distB="0" distL="114300" distR="114300" simplePos="0" relativeHeight="251659776" behindDoc="0" locked="0" layoutInCell="1" allowOverlap="1">
              <wp:simplePos x="0" y="0"/>
              <wp:positionH relativeFrom="column">
                <wp:posOffset>10795</wp:posOffset>
              </wp:positionH>
              <wp:positionV relativeFrom="paragraph">
                <wp:posOffset>2540</wp:posOffset>
              </wp:positionV>
              <wp:extent cx="5142865" cy="0"/>
              <wp:effectExtent l="10795" t="12065" r="8890" b="6985"/>
              <wp:wrapNone/>
              <wp:docPr id="4" name="Lin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42865" cy="0"/>
                      </a:xfrm>
                      <a:prstGeom prst="line">
                        <a:avLst/>
                      </a:prstGeom>
                      <a:noFill/>
                      <a:ln w="12600">
                        <a:solidFill>
                          <a:srgbClr val="05336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2"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pt,.2pt" to="405.8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" strokecolor="#05336e" strokeweight=".35mm"/>
          </w:pict>
        </mc:Fallback>
      </mc:AlternateContent>
    </w:r>
    <w:r>
      <w:rPr>
        <w:rFonts w:ascii="Calibri" w:hAnsi="Calibri"/>
        <w:b/>
        <w:noProof/>
        <w:sz w:val="21"/>
      </w:rPr>
      <mc:AlternateContent>
        <mc:Choice Requires="wps">
          <w:drawing>
            <wp:anchor distT="0" distB="0" distL="0" distR="0" simplePos="0" relativeHeight="251657728" behindDoc="1" locked="0" layoutInCell="1" allowOverlap="1">
              <wp:simplePos x="0" y="0"/>
              <wp:positionH relativeFrom="column">
                <wp:posOffset>10795</wp:posOffset>
              </wp:positionH>
              <wp:positionV relativeFrom="paragraph">
                <wp:posOffset>2540</wp:posOffset>
              </wp:positionV>
              <wp:extent cx="5144135" cy="635"/>
              <wp:effectExtent l="10795" t="12065" r="7620" b="6350"/>
              <wp:wrapNone/>
              <wp:docPr id="3" name="Lin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44135" cy="635"/>
                      </a:xfrm>
                      <a:prstGeom prst="line">
                        <a:avLst/>
                      </a:prstGeom>
                      <a:noFill/>
                      <a:ln w="12600">
                        <a:solidFill>
                          <a:srgbClr val="05336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8" o:spid="_x0000_s1026" style="position:absolute;z-index:-25165875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 from=".85pt,.2pt" to="405.9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" strokecolor="#05336e" strokeweight=".35mm"/>
          </w:pict>
        </mc:Fallback>
      </mc:AlternateContent>
    </w:r>
  </w:p>
  <w:p w:rsidR="00874707" w:rsidRDefault="00874707">
    <w:pPr>
      <w:tabs>
        <w:tab w:val="left" w:pos="4253"/>
        <w:tab w:val="left" w:pos="4395"/>
      </w:tabs>
      <w:spacing w:line="220" w:lineRule="exact"/>
      <w:rPr>
        <w:rFonts w:ascii="Calibri" w:hAnsi="Calibri"/>
        <w:b/>
        <w:w w:val="90"/>
        <w:sz w:val="21"/>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B76BBB"/>
    <w:multiLevelType w:val="hybridMultilevel"/>
    <w:tmpl w:val="EFDA33D2"/>
    <w:lvl w:ilvl="0" w:tplc="72721AA2">
      <w:start w:val="1"/>
      <w:numFmt w:val="bullet"/>
      <w:lvlText w:val=""/>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3A480F08"/>
    <w:multiLevelType w:val="multilevel"/>
    <w:tmpl w:val="C60A1F3C"/>
    <w:lvl w:ilvl="0">
      <w:start w:val="1"/>
      <w:numFmt w:val="bullet"/>
      <w:lvlText w:val="-"/>
      <w:lvlJc w:val="left"/>
      <w:pPr>
        <w:ind w:left="717" w:hanging="360"/>
      </w:pPr>
      <w:rPr>
        <w:rFonts w:ascii="Calibri" w:hAnsi="Calibri" w:cs="Calibri" w:hint="default"/>
        <w:color w:val="auto"/>
      </w:rPr>
    </w:lvl>
    <w:lvl w:ilvl="1">
      <w:start w:val="1"/>
      <w:numFmt w:val="bullet"/>
      <w:lvlText w:val="o"/>
      <w:lvlJc w:val="left"/>
      <w:pPr>
        <w:ind w:left="1437" w:hanging="360"/>
      </w:pPr>
      <w:rPr>
        <w:rFonts w:ascii="Courier New" w:hAnsi="Courier New" w:cs="Courier New" w:hint="default"/>
      </w:rPr>
    </w:lvl>
    <w:lvl w:ilvl="2">
      <w:start w:val="1"/>
      <w:numFmt w:val="bullet"/>
      <w:lvlText w:val=""/>
      <w:lvlJc w:val="left"/>
      <w:pPr>
        <w:ind w:left="2157" w:hanging="360"/>
      </w:pPr>
      <w:rPr>
        <w:rFonts w:ascii="Wingdings" w:hAnsi="Wingdings" w:cs="Wingdings" w:hint="default"/>
      </w:rPr>
    </w:lvl>
    <w:lvl w:ilvl="3">
      <w:start w:val="1"/>
      <w:numFmt w:val="bullet"/>
      <w:lvlText w:val=""/>
      <w:lvlJc w:val="left"/>
      <w:pPr>
        <w:ind w:left="2877" w:hanging="360"/>
      </w:pPr>
      <w:rPr>
        <w:rFonts w:ascii="Symbol" w:hAnsi="Symbol" w:cs="Symbol" w:hint="default"/>
      </w:rPr>
    </w:lvl>
    <w:lvl w:ilvl="4">
      <w:start w:val="1"/>
      <w:numFmt w:val="bullet"/>
      <w:lvlText w:val="o"/>
      <w:lvlJc w:val="left"/>
      <w:pPr>
        <w:ind w:left="3597" w:hanging="360"/>
      </w:pPr>
      <w:rPr>
        <w:rFonts w:ascii="Courier New" w:hAnsi="Courier New" w:cs="Courier New" w:hint="default"/>
      </w:rPr>
    </w:lvl>
    <w:lvl w:ilvl="5">
      <w:start w:val="1"/>
      <w:numFmt w:val="bullet"/>
      <w:lvlText w:val=""/>
      <w:lvlJc w:val="left"/>
      <w:pPr>
        <w:ind w:left="4317" w:hanging="360"/>
      </w:pPr>
      <w:rPr>
        <w:rFonts w:ascii="Wingdings" w:hAnsi="Wingdings" w:cs="Wingdings" w:hint="default"/>
      </w:rPr>
    </w:lvl>
    <w:lvl w:ilvl="6">
      <w:start w:val="1"/>
      <w:numFmt w:val="bullet"/>
      <w:lvlText w:val=""/>
      <w:lvlJc w:val="left"/>
      <w:pPr>
        <w:ind w:left="5037" w:hanging="360"/>
      </w:pPr>
      <w:rPr>
        <w:rFonts w:ascii="Symbol" w:hAnsi="Symbol" w:cs="Symbol" w:hint="default"/>
      </w:rPr>
    </w:lvl>
    <w:lvl w:ilvl="7">
      <w:start w:val="1"/>
      <w:numFmt w:val="bullet"/>
      <w:lvlText w:val="o"/>
      <w:lvlJc w:val="left"/>
      <w:pPr>
        <w:ind w:left="5757" w:hanging="360"/>
      </w:pPr>
      <w:rPr>
        <w:rFonts w:ascii="Courier New" w:hAnsi="Courier New" w:cs="Courier New" w:hint="default"/>
      </w:rPr>
    </w:lvl>
    <w:lvl w:ilvl="8">
      <w:start w:val="1"/>
      <w:numFmt w:val="bullet"/>
      <w:lvlText w:val=""/>
      <w:lvlJc w:val="left"/>
      <w:pPr>
        <w:ind w:left="6477" w:hanging="360"/>
      </w:pPr>
      <w:rPr>
        <w:rFonts w:ascii="Wingdings" w:hAnsi="Wingdings" w:cs="Wingdings" w:hint="default"/>
      </w:rPr>
    </w:lvl>
  </w:abstractNum>
  <w:abstractNum w:abstractNumId="2">
    <w:nsid w:val="3BD17BDF"/>
    <w:multiLevelType w:val="hybridMultilevel"/>
    <w:tmpl w:val="3B048158"/>
    <w:lvl w:ilvl="0" w:tplc="8CFAF444">
      <w:start w:val="1"/>
      <w:numFmt w:val="bullet"/>
      <w:lvlText w:val=""/>
      <w:lvlJc w:val="left"/>
      <w:pPr>
        <w:ind w:left="783" w:hanging="360"/>
      </w:pPr>
      <w:rPr>
        <w:rFonts w:ascii="Symbol" w:hAnsi="Symbol" w:hint="default"/>
        <w:sz w:val="2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51CA6DB1"/>
    <w:multiLevelType w:val="singleLevel"/>
    <w:tmpl w:val="CB18CC14"/>
    <w:lvl w:ilvl="0">
      <w:start w:val="1"/>
      <w:numFmt w:val="decimal"/>
      <w:lvlText w:val="%1."/>
      <w:lvlJc w:val="left"/>
      <w:pPr>
        <w:tabs>
          <w:tab w:val="num" w:pos="360"/>
        </w:tabs>
        <w:ind w:left="360" w:hanging="360"/>
      </w:pPr>
      <w:rPr>
        <w:b w:val="0"/>
      </w:rPr>
    </w:lvl>
  </w:abstractNum>
  <w:abstractNum w:abstractNumId="4">
    <w:nsid w:val="5497690D"/>
    <w:multiLevelType w:val="multilevel"/>
    <w:tmpl w:val="D910BC22"/>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num w:numId="1">
    <w:abstractNumId w:val="1"/>
  </w:num>
  <w:num w:numId="2">
    <w:abstractNumId w:val="4"/>
  </w:num>
  <w:num w:numId="3">
    <w:abstractNumId w:val="2"/>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defaultTabStop w:val="708"/>
  <w:autoHyphenation/>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A4407"/>
    <w:rsid w:val="0000787C"/>
    <w:rsid w:val="00022A60"/>
    <w:rsid w:val="000318C8"/>
    <w:rsid w:val="00042108"/>
    <w:rsid w:val="00064EE1"/>
    <w:rsid w:val="00075130"/>
    <w:rsid w:val="00075237"/>
    <w:rsid w:val="00083418"/>
    <w:rsid w:val="00084043"/>
    <w:rsid w:val="000A5F41"/>
    <w:rsid w:val="000A7B9D"/>
    <w:rsid w:val="000B7A11"/>
    <w:rsid w:val="000C6487"/>
    <w:rsid w:val="000D7685"/>
    <w:rsid w:val="000E5252"/>
    <w:rsid w:val="00122CD4"/>
    <w:rsid w:val="00133860"/>
    <w:rsid w:val="0013694D"/>
    <w:rsid w:val="001420BB"/>
    <w:rsid w:val="0014492F"/>
    <w:rsid w:val="00150E21"/>
    <w:rsid w:val="00155128"/>
    <w:rsid w:val="00191B75"/>
    <w:rsid w:val="001A72A7"/>
    <w:rsid w:val="001D383F"/>
    <w:rsid w:val="001D52AD"/>
    <w:rsid w:val="001E05EB"/>
    <w:rsid w:val="001E1500"/>
    <w:rsid w:val="001E4605"/>
    <w:rsid w:val="00207C91"/>
    <w:rsid w:val="00215450"/>
    <w:rsid w:val="002268A2"/>
    <w:rsid w:val="00231496"/>
    <w:rsid w:val="00234610"/>
    <w:rsid w:val="00250BC7"/>
    <w:rsid w:val="00272C6A"/>
    <w:rsid w:val="002741C1"/>
    <w:rsid w:val="00276272"/>
    <w:rsid w:val="00280A91"/>
    <w:rsid w:val="00280B36"/>
    <w:rsid w:val="002905A5"/>
    <w:rsid w:val="00297095"/>
    <w:rsid w:val="002A4407"/>
    <w:rsid w:val="002A4A36"/>
    <w:rsid w:val="002A76B0"/>
    <w:rsid w:val="002C1FEF"/>
    <w:rsid w:val="002C6EE2"/>
    <w:rsid w:val="002D5C73"/>
    <w:rsid w:val="003131D2"/>
    <w:rsid w:val="00313421"/>
    <w:rsid w:val="00323914"/>
    <w:rsid w:val="003322D0"/>
    <w:rsid w:val="0033600F"/>
    <w:rsid w:val="003476BB"/>
    <w:rsid w:val="00350AFE"/>
    <w:rsid w:val="00352D92"/>
    <w:rsid w:val="00360ACD"/>
    <w:rsid w:val="00375B00"/>
    <w:rsid w:val="00383F72"/>
    <w:rsid w:val="00384ABD"/>
    <w:rsid w:val="003A10C4"/>
    <w:rsid w:val="003A4DF1"/>
    <w:rsid w:val="003C3AEC"/>
    <w:rsid w:val="003D05C3"/>
    <w:rsid w:val="003D3CFB"/>
    <w:rsid w:val="003D501B"/>
    <w:rsid w:val="003D5693"/>
    <w:rsid w:val="003D5F3C"/>
    <w:rsid w:val="003F2451"/>
    <w:rsid w:val="00401F6C"/>
    <w:rsid w:val="00406023"/>
    <w:rsid w:val="0041669F"/>
    <w:rsid w:val="00432A00"/>
    <w:rsid w:val="004400A5"/>
    <w:rsid w:val="00450125"/>
    <w:rsid w:val="00457AC8"/>
    <w:rsid w:val="004804B0"/>
    <w:rsid w:val="00491AF2"/>
    <w:rsid w:val="004C19EB"/>
    <w:rsid w:val="004D1BEB"/>
    <w:rsid w:val="004F365B"/>
    <w:rsid w:val="005018BF"/>
    <w:rsid w:val="00542260"/>
    <w:rsid w:val="0054327C"/>
    <w:rsid w:val="00543518"/>
    <w:rsid w:val="00545A9C"/>
    <w:rsid w:val="0055328D"/>
    <w:rsid w:val="00557DF9"/>
    <w:rsid w:val="00562582"/>
    <w:rsid w:val="00562777"/>
    <w:rsid w:val="00563EE6"/>
    <w:rsid w:val="00564122"/>
    <w:rsid w:val="00573DAD"/>
    <w:rsid w:val="00576336"/>
    <w:rsid w:val="0058757D"/>
    <w:rsid w:val="005B7E72"/>
    <w:rsid w:val="005C438B"/>
    <w:rsid w:val="005D22E9"/>
    <w:rsid w:val="005D51AD"/>
    <w:rsid w:val="005F1DB9"/>
    <w:rsid w:val="005F5656"/>
    <w:rsid w:val="006021BD"/>
    <w:rsid w:val="0061558E"/>
    <w:rsid w:val="00641D32"/>
    <w:rsid w:val="00643199"/>
    <w:rsid w:val="00643A0B"/>
    <w:rsid w:val="00644A13"/>
    <w:rsid w:val="00677D38"/>
    <w:rsid w:val="00690F75"/>
    <w:rsid w:val="006A676C"/>
    <w:rsid w:val="006C0594"/>
    <w:rsid w:val="006C463D"/>
    <w:rsid w:val="006D1F8D"/>
    <w:rsid w:val="006D26FF"/>
    <w:rsid w:val="006E35D9"/>
    <w:rsid w:val="006E4543"/>
    <w:rsid w:val="006E6CBC"/>
    <w:rsid w:val="006F3C90"/>
    <w:rsid w:val="00701637"/>
    <w:rsid w:val="00704133"/>
    <w:rsid w:val="00705E9C"/>
    <w:rsid w:val="00716C5D"/>
    <w:rsid w:val="007235F9"/>
    <w:rsid w:val="00724A1C"/>
    <w:rsid w:val="0072504D"/>
    <w:rsid w:val="00726A4B"/>
    <w:rsid w:val="007334BB"/>
    <w:rsid w:val="00735777"/>
    <w:rsid w:val="007434C6"/>
    <w:rsid w:val="00764E45"/>
    <w:rsid w:val="0077116C"/>
    <w:rsid w:val="00780023"/>
    <w:rsid w:val="0078366E"/>
    <w:rsid w:val="00795E52"/>
    <w:rsid w:val="007965AD"/>
    <w:rsid w:val="007A3D6F"/>
    <w:rsid w:val="007C7D4B"/>
    <w:rsid w:val="007D1529"/>
    <w:rsid w:val="0081238A"/>
    <w:rsid w:val="00822D16"/>
    <w:rsid w:val="00825684"/>
    <w:rsid w:val="00865E42"/>
    <w:rsid w:val="00867BD8"/>
    <w:rsid w:val="00874707"/>
    <w:rsid w:val="008A06DB"/>
    <w:rsid w:val="008D09AF"/>
    <w:rsid w:val="008D396F"/>
    <w:rsid w:val="008E41AE"/>
    <w:rsid w:val="008E6F2E"/>
    <w:rsid w:val="008F4829"/>
    <w:rsid w:val="008F7C81"/>
    <w:rsid w:val="00906C57"/>
    <w:rsid w:val="00906C69"/>
    <w:rsid w:val="00936F73"/>
    <w:rsid w:val="00941995"/>
    <w:rsid w:val="00951D8A"/>
    <w:rsid w:val="009544FB"/>
    <w:rsid w:val="0096726C"/>
    <w:rsid w:val="009814BB"/>
    <w:rsid w:val="00982382"/>
    <w:rsid w:val="009A0CC9"/>
    <w:rsid w:val="009A2E56"/>
    <w:rsid w:val="009B3508"/>
    <w:rsid w:val="009C6999"/>
    <w:rsid w:val="009D0AEB"/>
    <w:rsid w:val="009D790E"/>
    <w:rsid w:val="009E4053"/>
    <w:rsid w:val="009F2868"/>
    <w:rsid w:val="009F51CC"/>
    <w:rsid w:val="00A107A3"/>
    <w:rsid w:val="00A273D7"/>
    <w:rsid w:val="00A37D53"/>
    <w:rsid w:val="00A47C37"/>
    <w:rsid w:val="00A54607"/>
    <w:rsid w:val="00A735B8"/>
    <w:rsid w:val="00A80879"/>
    <w:rsid w:val="00A9250A"/>
    <w:rsid w:val="00A94660"/>
    <w:rsid w:val="00AA3521"/>
    <w:rsid w:val="00AD7F29"/>
    <w:rsid w:val="00AF2593"/>
    <w:rsid w:val="00AF5F64"/>
    <w:rsid w:val="00B14551"/>
    <w:rsid w:val="00B440AE"/>
    <w:rsid w:val="00B44C4C"/>
    <w:rsid w:val="00B505B2"/>
    <w:rsid w:val="00B9505A"/>
    <w:rsid w:val="00B9671D"/>
    <w:rsid w:val="00BE5434"/>
    <w:rsid w:val="00BE5652"/>
    <w:rsid w:val="00BE625A"/>
    <w:rsid w:val="00BF585F"/>
    <w:rsid w:val="00BF6EF9"/>
    <w:rsid w:val="00C22ED9"/>
    <w:rsid w:val="00C24EE9"/>
    <w:rsid w:val="00C24F6B"/>
    <w:rsid w:val="00C57DDE"/>
    <w:rsid w:val="00C652F3"/>
    <w:rsid w:val="00C6776B"/>
    <w:rsid w:val="00C83AFB"/>
    <w:rsid w:val="00CA2769"/>
    <w:rsid w:val="00CD6354"/>
    <w:rsid w:val="00CE6C2E"/>
    <w:rsid w:val="00CE7DB8"/>
    <w:rsid w:val="00CF5380"/>
    <w:rsid w:val="00D14A9B"/>
    <w:rsid w:val="00D2026E"/>
    <w:rsid w:val="00D20864"/>
    <w:rsid w:val="00D53874"/>
    <w:rsid w:val="00D54016"/>
    <w:rsid w:val="00D613CE"/>
    <w:rsid w:val="00D63EC4"/>
    <w:rsid w:val="00D747E6"/>
    <w:rsid w:val="00D8178E"/>
    <w:rsid w:val="00D915D1"/>
    <w:rsid w:val="00DA37C3"/>
    <w:rsid w:val="00DA6A13"/>
    <w:rsid w:val="00DC1BE8"/>
    <w:rsid w:val="00DC2183"/>
    <w:rsid w:val="00DD6C6A"/>
    <w:rsid w:val="00DF1EB0"/>
    <w:rsid w:val="00DF6EE1"/>
    <w:rsid w:val="00E27044"/>
    <w:rsid w:val="00E36A61"/>
    <w:rsid w:val="00E40675"/>
    <w:rsid w:val="00E4562F"/>
    <w:rsid w:val="00E639BF"/>
    <w:rsid w:val="00E67EDB"/>
    <w:rsid w:val="00E91053"/>
    <w:rsid w:val="00E934A5"/>
    <w:rsid w:val="00E94976"/>
    <w:rsid w:val="00EE7903"/>
    <w:rsid w:val="00EF3014"/>
    <w:rsid w:val="00EF36D2"/>
    <w:rsid w:val="00EF762F"/>
    <w:rsid w:val="00F006FA"/>
    <w:rsid w:val="00F24D8C"/>
    <w:rsid w:val="00F43513"/>
    <w:rsid w:val="00F621E5"/>
    <w:rsid w:val="00F83C92"/>
    <w:rsid w:val="00F955FE"/>
    <w:rsid w:val="00FA055E"/>
    <w:rsid w:val="00FB7EF2"/>
    <w:rsid w:val="00FC1917"/>
    <w:rsid w:val="00FC34CE"/>
    <w:rsid w:val="00FC7EB3"/>
    <w:rsid w:val="00FD5441"/>
    <w:rsid w:val="00FD5B71"/>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Cambria" w:hAnsi="Cambria" w:cs="Times New Roman"/>
        <w:lang w:val="it-IT" w:eastAsia="it-IT" w:bidi="ar-SA"/>
      </w:rPr>
    </w:rPrDefault>
    <w:pPrDefault>
      <w:pPr>
        <w:suppressAutoHyphens/>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iPriority="99"/>
    <w:lsdException w:name="footer" w:uiPriority="99"/>
    <w:lsdException w:name="caption" w:qFormat="1"/>
    <w:lsdException w:name="footnote reference" w:uiPriority="99"/>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Normal (Web)" w:uiPriority="99"/>
    <w:lsdException w:name="Balloon Text" w:semiHidden="0" w:unhideWhenUsed="0"/>
    <w:lsdException w:name="Table Grid" w:semiHidden="0" w:uiPriority="59" w:unhideWhenUsed="0"/>
    <w:lsdException w:name="Placeholder Text" w:semiHidden="0"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semiHidden="0" w:unhideWhenUsed="0"/>
    <w:lsdException w:name="TOC Heading" w:qFormat="1"/>
  </w:latentStyles>
  <w:style w:type="paragraph" w:default="1" w:styleId="Normale">
    <w:name w:val="Normal"/>
    <w:qFormat/>
    <w:rsid w:val="006760E5"/>
    <w:rPr>
      <w:rFonts w:ascii="Times New Roman" w:eastAsia="Times New Roman" w:hAnsi="Times New Roman"/>
      <w:sz w:val="24"/>
      <w:szCs w:val="24"/>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Fontpredefinitoparagrafo">
    <w:name w:val="Font predefinito paragrafo"/>
    <w:qFormat/>
    <w:rsid w:val="0064283A"/>
  </w:style>
  <w:style w:type="character" w:customStyle="1" w:styleId="IntestazioneCarattere">
    <w:name w:val="Intestazione Carattere"/>
    <w:basedOn w:val="Carpredefinitoparagrafo"/>
    <w:link w:val="Intestazione"/>
    <w:uiPriority w:val="99"/>
    <w:qFormat/>
    <w:rsid w:val="00A82DDB"/>
    <w:rPr>
      <w:sz w:val="24"/>
    </w:rPr>
  </w:style>
  <w:style w:type="character" w:customStyle="1" w:styleId="PidipaginaCarattere">
    <w:name w:val="Piè di pagina Carattere"/>
    <w:basedOn w:val="Carpredefinitoparagrafo"/>
    <w:link w:val="Pidipagina"/>
    <w:uiPriority w:val="99"/>
    <w:qFormat/>
    <w:rsid w:val="00A82DDB"/>
    <w:rPr>
      <w:sz w:val="24"/>
    </w:rPr>
  </w:style>
  <w:style w:type="character" w:customStyle="1" w:styleId="CollegamentoInternet">
    <w:name w:val="Collegamento Internet"/>
    <w:basedOn w:val="Carpredefinitoparagrafo"/>
    <w:rsid w:val="00885342"/>
    <w:rPr>
      <w:color w:val="0000FF"/>
      <w:u w:val="single"/>
    </w:rPr>
  </w:style>
  <w:style w:type="character" w:customStyle="1" w:styleId="apple-converted-space">
    <w:name w:val="apple-converted-space"/>
    <w:basedOn w:val="Carpredefinitoparagrafo"/>
    <w:qFormat/>
    <w:rsid w:val="002457A0"/>
  </w:style>
  <w:style w:type="character" w:customStyle="1" w:styleId="TestonotaapidipaginaCarattere">
    <w:name w:val="Testo nota a piè di pagina Carattere"/>
    <w:basedOn w:val="Carpredefinitoparagrafo"/>
    <w:link w:val="Testonotaapidipagina"/>
    <w:uiPriority w:val="99"/>
    <w:qFormat/>
    <w:rsid w:val="00211638"/>
    <w:rPr>
      <w:rFonts w:asciiTheme="minorHAnsi" w:eastAsiaTheme="minorHAnsi" w:hAnsiTheme="minorHAnsi" w:cstheme="minorBidi"/>
      <w:lang w:eastAsia="en-US"/>
    </w:rPr>
  </w:style>
  <w:style w:type="character" w:customStyle="1" w:styleId="Richiamoallanotaapidipagina">
    <w:name w:val="Richiamo alla nota a piè di pagina"/>
    <w:rsid w:val="00075237"/>
    <w:rPr>
      <w:vertAlign w:val="superscript"/>
    </w:rPr>
  </w:style>
  <w:style w:type="character" w:customStyle="1" w:styleId="FootnoteCharacters">
    <w:name w:val="Footnote Characters"/>
    <w:basedOn w:val="Carpredefinitoparagrafo"/>
    <w:uiPriority w:val="99"/>
    <w:unhideWhenUsed/>
    <w:qFormat/>
    <w:rsid w:val="00211638"/>
    <w:rPr>
      <w:vertAlign w:val="superscript"/>
    </w:rPr>
  </w:style>
  <w:style w:type="character" w:customStyle="1" w:styleId="TestofumettoCarattere">
    <w:name w:val="Testo fumetto Carattere"/>
    <w:basedOn w:val="Carpredefinitoparagrafo"/>
    <w:link w:val="Testofumetto"/>
    <w:qFormat/>
    <w:rsid w:val="00655AAC"/>
    <w:rPr>
      <w:rFonts w:ascii="Tahoma" w:hAnsi="Tahoma" w:cs="Tahoma"/>
      <w:sz w:val="16"/>
      <w:szCs w:val="16"/>
      <w:lang w:eastAsia="en-US"/>
    </w:rPr>
  </w:style>
  <w:style w:type="character" w:customStyle="1" w:styleId="UnresolvedMention">
    <w:name w:val="Unresolved Mention"/>
    <w:basedOn w:val="Carpredefinitoparagrafo"/>
    <w:uiPriority w:val="99"/>
    <w:semiHidden/>
    <w:unhideWhenUsed/>
    <w:qFormat/>
    <w:rsid w:val="00C008FE"/>
    <w:rPr>
      <w:color w:val="605E5C"/>
      <w:shd w:val="clear" w:color="auto" w:fill="E1DFDD"/>
    </w:rPr>
  </w:style>
  <w:style w:type="paragraph" w:styleId="Titolo">
    <w:name w:val="Title"/>
    <w:basedOn w:val="Normale"/>
    <w:next w:val="Corpotesto"/>
    <w:qFormat/>
    <w:rsid w:val="00075237"/>
    <w:pPr>
      <w:keepNext/>
      <w:spacing w:before="240" w:after="120"/>
    </w:pPr>
    <w:rPr>
      <w:rFonts w:ascii="Liberation Sans" w:eastAsia="Microsoft YaHei" w:hAnsi="Liberation Sans" w:cs="Mangal"/>
      <w:sz w:val="28"/>
      <w:szCs w:val="28"/>
    </w:rPr>
  </w:style>
  <w:style w:type="paragraph" w:styleId="Corpotesto">
    <w:name w:val="Body Text"/>
    <w:basedOn w:val="Normale"/>
    <w:rsid w:val="00075237"/>
    <w:pPr>
      <w:spacing w:after="140" w:line="276" w:lineRule="auto"/>
    </w:pPr>
  </w:style>
  <w:style w:type="paragraph" w:styleId="Elenco">
    <w:name w:val="List"/>
    <w:basedOn w:val="Corpotesto"/>
    <w:rsid w:val="00075237"/>
    <w:rPr>
      <w:rFonts w:cs="Mangal"/>
    </w:rPr>
  </w:style>
  <w:style w:type="paragraph" w:styleId="Didascalia">
    <w:name w:val="caption"/>
    <w:basedOn w:val="Normale"/>
    <w:qFormat/>
    <w:rsid w:val="00075237"/>
    <w:pPr>
      <w:suppressLineNumbers/>
      <w:spacing w:before="120" w:after="120"/>
    </w:pPr>
    <w:rPr>
      <w:rFonts w:cs="Mangal"/>
      <w:i/>
      <w:iCs/>
    </w:rPr>
  </w:style>
  <w:style w:type="paragraph" w:customStyle="1" w:styleId="Indice">
    <w:name w:val="Indice"/>
    <w:basedOn w:val="Normale"/>
    <w:qFormat/>
    <w:rsid w:val="00075237"/>
    <w:pPr>
      <w:suppressLineNumbers/>
    </w:pPr>
    <w:rPr>
      <w:rFonts w:cs="Mangal"/>
    </w:rPr>
  </w:style>
  <w:style w:type="paragraph" w:customStyle="1" w:styleId="Intestazioneepidipagina">
    <w:name w:val="Intestazione e piè di pagina"/>
    <w:basedOn w:val="Normale"/>
    <w:qFormat/>
    <w:rsid w:val="00075237"/>
  </w:style>
  <w:style w:type="paragraph" w:styleId="Intestazione">
    <w:name w:val="header"/>
    <w:basedOn w:val="Normale"/>
    <w:link w:val="IntestazioneCarattere"/>
    <w:uiPriority w:val="99"/>
    <w:unhideWhenUsed/>
    <w:rsid w:val="00A82DDB"/>
    <w:pPr>
      <w:tabs>
        <w:tab w:val="center" w:pos="4819"/>
        <w:tab w:val="right" w:pos="9638"/>
      </w:tabs>
    </w:pPr>
    <w:rPr>
      <w:rFonts w:ascii="Cambria" w:eastAsia="Cambria" w:hAnsi="Cambria"/>
      <w:lang w:eastAsia="en-US"/>
    </w:rPr>
  </w:style>
  <w:style w:type="paragraph" w:styleId="Pidipagina">
    <w:name w:val="footer"/>
    <w:basedOn w:val="Normale"/>
    <w:link w:val="PidipaginaCarattere"/>
    <w:uiPriority w:val="99"/>
    <w:unhideWhenUsed/>
    <w:rsid w:val="00A82DDB"/>
    <w:pPr>
      <w:tabs>
        <w:tab w:val="center" w:pos="4819"/>
        <w:tab w:val="right" w:pos="9638"/>
      </w:tabs>
    </w:pPr>
    <w:rPr>
      <w:rFonts w:ascii="Cambria" w:eastAsia="Cambria" w:hAnsi="Cambria"/>
      <w:lang w:eastAsia="en-US"/>
    </w:rPr>
  </w:style>
  <w:style w:type="paragraph" w:styleId="Paragrafoelenco">
    <w:name w:val="List Paragraph"/>
    <w:basedOn w:val="Normale"/>
    <w:uiPriority w:val="34"/>
    <w:qFormat/>
    <w:rsid w:val="00D47EA9"/>
    <w:pPr>
      <w:spacing w:after="200" w:line="276" w:lineRule="auto"/>
      <w:ind w:left="720"/>
    </w:pPr>
    <w:rPr>
      <w:rFonts w:ascii="Calibri" w:hAnsi="Calibri" w:cs="Calibri"/>
      <w:sz w:val="22"/>
      <w:szCs w:val="22"/>
      <w:lang w:eastAsia="en-US"/>
    </w:rPr>
  </w:style>
  <w:style w:type="paragraph" w:customStyle="1" w:styleId="m-5113619490410378957msoplaintext">
    <w:name w:val="m_-5113619490410378957msoplaintext"/>
    <w:basedOn w:val="Normale"/>
    <w:qFormat/>
    <w:rsid w:val="0027505D"/>
    <w:pPr>
      <w:spacing w:beforeAutospacing="1" w:afterAutospacing="1"/>
    </w:pPr>
  </w:style>
  <w:style w:type="paragraph" w:styleId="NormaleWeb">
    <w:name w:val="Normal (Web)"/>
    <w:basedOn w:val="Normale"/>
    <w:uiPriority w:val="99"/>
    <w:unhideWhenUsed/>
    <w:qFormat/>
    <w:rsid w:val="00A72680"/>
    <w:pPr>
      <w:spacing w:beforeAutospacing="1" w:afterAutospacing="1"/>
    </w:pPr>
  </w:style>
  <w:style w:type="paragraph" w:styleId="Testonotaapidipagina">
    <w:name w:val="footnote text"/>
    <w:basedOn w:val="Normale"/>
    <w:link w:val="TestonotaapidipaginaCarattere"/>
    <w:uiPriority w:val="99"/>
    <w:unhideWhenUsed/>
    <w:rsid w:val="00211638"/>
    <w:rPr>
      <w:rFonts w:asciiTheme="minorHAnsi" w:eastAsiaTheme="minorHAnsi" w:hAnsiTheme="minorHAnsi" w:cstheme="minorBidi"/>
      <w:sz w:val="20"/>
      <w:szCs w:val="20"/>
      <w:lang w:eastAsia="en-US"/>
    </w:rPr>
  </w:style>
  <w:style w:type="paragraph" w:styleId="Testofumetto">
    <w:name w:val="Balloon Text"/>
    <w:basedOn w:val="Normale"/>
    <w:link w:val="TestofumettoCarattere"/>
    <w:qFormat/>
    <w:rsid w:val="00655AAC"/>
    <w:rPr>
      <w:rFonts w:ascii="Tahoma" w:eastAsia="Cambria" w:hAnsi="Tahoma" w:cs="Tahoma"/>
      <w:sz w:val="16"/>
      <w:szCs w:val="16"/>
      <w:lang w:eastAsia="en-US"/>
    </w:rPr>
  </w:style>
  <w:style w:type="paragraph" w:customStyle="1" w:styleId="Contenutocornice">
    <w:name w:val="Contenuto cornice"/>
    <w:basedOn w:val="Normale"/>
    <w:qFormat/>
    <w:rsid w:val="00075237"/>
  </w:style>
  <w:style w:type="table" w:styleId="Grigliatabella">
    <w:name w:val="Table Grid"/>
    <w:basedOn w:val="Tabellanormale"/>
    <w:uiPriority w:val="59"/>
    <w:rsid w:val="00506B3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umeropagina">
    <w:name w:val="page number"/>
    <w:basedOn w:val="Carpredefinitoparagrafo"/>
    <w:semiHidden/>
    <w:unhideWhenUsed/>
    <w:rsid w:val="001A72A7"/>
  </w:style>
  <w:style w:type="paragraph" w:customStyle="1" w:styleId="LABELOBBLIGATORI">
    <w:name w:val="LABEL OBBLIGATORI"/>
    <w:basedOn w:val="Normale"/>
    <w:rsid w:val="00C24F6B"/>
    <w:pPr>
      <w:suppressAutoHyphens w:val="0"/>
    </w:pPr>
    <w:rPr>
      <w:rFonts w:ascii="Arial" w:hAnsi="Arial"/>
      <w:b/>
      <w:color w:val="FFFFFF"/>
      <w:sz w:val="20"/>
      <w:szCs w:val="20"/>
    </w:rPr>
  </w:style>
  <w:style w:type="paragraph" w:customStyle="1" w:styleId="LABELSEMPLICI">
    <w:name w:val="LABEL SEMPLICI"/>
    <w:basedOn w:val="LABELOBBLIGATORI"/>
    <w:rsid w:val="00C24F6B"/>
    <w:rPr>
      <w:b w:val="0"/>
      <w:color w:val="000080"/>
    </w:rPr>
  </w:style>
  <w:style w:type="paragraph" w:customStyle="1" w:styleId="CAMPI">
    <w:name w:val="CAMPI"/>
    <w:basedOn w:val="Normale"/>
    <w:rsid w:val="00C24F6B"/>
    <w:pPr>
      <w:suppressAutoHyphens w:val="0"/>
      <w:spacing w:before="120" w:after="120" w:line="288" w:lineRule="auto"/>
    </w:pPr>
    <w:rPr>
      <w:rFonts w:ascii="Arial" w:hAnsi="Arial"/>
      <w:sz w:val="18"/>
      <w:szCs w:val="20"/>
    </w:rPr>
  </w:style>
  <w:style w:type="character" w:styleId="Collegamentoipertestuale">
    <w:name w:val="Hyperlink"/>
    <w:basedOn w:val="Carpredefinitoparagrafo"/>
    <w:unhideWhenUsed/>
    <w:rsid w:val="002C1FEF"/>
    <w:rPr>
      <w:color w:val="0000FF" w:themeColor="hyperlink"/>
      <w:u w:val="single"/>
    </w:rPr>
  </w:style>
  <w:style w:type="character" w:styleId="Rimandocommento">
    <w:name w:val="annotation reference"/>
    <w:basedOn w:val="Carpredefinitoparagrafo"/>
    <w:semiHidden/>
    <w:unhideWhenUsed/>
    <w:rsid w:val="00701637"/>
    <w:rPr>
      <w:sz w:val="16"/>
      <w:szCs w:val="16"/>
    </w:rPr>
  </w:style>
  <w:style w:type="paragraph" w:styleId="Testocommento">
    <w:name w:val="annotation text"/>
    <w:basedOn w:val="Normale"/>
    <w:link w:val="TestocommentoCarattere"/>
    <w:semiHidden/>
    <w:unhideWhenUsed/>
    <w:rsid w:val="00701637"/>
    <w:rPr>
      <w:sz w:val="20"/>
      <w:szCs w:val="20"/>
    </w:rPr>
  </w:style>
  <w:style w:type="character" w:customStyle="1" w:styleId="TestocommentoCarattere">
    <w:name w:val="Testo commento Carattere"/>
    <w:basedOn w:val="Carpredefinitoparagrafo"/>
    <w:link w:val="Testocommento"/>
    <w:semiHidden/>
    <w:rsid w:val="00701637"/>
    <w:rPr>
      <w:rFonts w:ascii="Times New Roman" w:eastAsia="Times New Roman" w:hAnsi="Times New Roman"/>
    </w:rPr>
  </w:style>
  <w:style w:type="paragraph" w:styleId="Soggettocommento">
    <w:name w:val="annotation subject"/>
    <w:basedOn w:val="Testocommento"/>
    <w:next w:val="Testocommento"/>
    <w:link w:val="SoggettocommentoCarattere"/>
    <w:semiHidden/>
    <w:unhideWhenUsed/>
    <w:rsid w:val="00701637"/>
    <w:rPr>
      <w:b/>
      <w:bCs/>
    </w:rPr>
  </w:style>
  <w:style w:type="character" w:customStyle="1" w:styleId="SoggettocommentoCarattere">
    <w:name w:val="Soggetto commento Carattere"/>
    <w:basedOn w:val="TestocommentoCarattere"/>
    <w:link w:val="Soggettocommento"/>
    <w:semiHidden/>
    <w:rsid w:val="00701637"/>
    <w:rPr>
      <w:rFonts w:ascii="Times New Roman" w:eastAsia="Times New Roman" w:hAnsi="Times New Roman"/>
      <w:b/>
      <w:bCs/>
    </w:rPr>
  </w:style>
  <w:style w:type="character" w:styleId="Collegamentovisitato">
    <w:name w:val="FollowedHyperlink"/>
    <w:basedOn w:val="Carpredefinitoparagrafo"/>
    <w:semiHidden/>
    <w:unhideWhenUsed/>
    <w:rsid w:val="007235F9"/>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Cambria" w:hAnsi="Cambria" w:cs="Times New Roman"/>
        <w:lang w:val="it-IT" w:eastAsia="it-IT" w:bidi="ar-SA"/>
      </w:rPr>
    </w:rPrDefault>
    <w:pPrDefault>
      <w:pPr>
        <w:suppressAutoHyphens/>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iPriority="99"/>
    <w:lsdException w:name="footer" w:uiPriority="99"/>
    <w:lsdException w:name="caption" w:qFormat="1"/>
    <w:lsdException w:name="footnote reference" w:uiPriority="99"/>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Normal (Web)" w:uiPriority="99"/>
    <w:lsdException w:name="Balloon Text" w:semiHidden="0" w:unhideWhenUsed="0"/>
    <w:lsdException w:name="Table Grid" w:semiHidden="0" w:uiPriority="59" w:unhideWhenUsed="0"/>
    <w:lsdException w:name="Placeholder Text" w:semiHidden="0"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semiHidden="0" w:unhideWhenUsed="0"/>
    <w:lsdException w:name="TOC Heading" w:qFormat="1"/>
  </w:latentStyles>
  <w:style w:type="paragraph" w:default="1" w:styleId="Normale">
    <w:name w:val="Normal"/>
    <w:qFormat/>
    <w:rsid w:val="006760E5"/>
    <w:rPr>
      <w:rFonts w:ascii="Times New Roman" w:eastAsia="Times New Roman" w:hAnsi="Times New Roman"/>
      <w:sz w:val="24"/>
      <w:szCs w:val="24"/>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Fontpredefinitoparagrafo">
    <w:name w:val="Font predefinito paragrafo"/>
    <w:qFormat/>
    <w:rsid w:val="0064283A"/>
  </w:style>
  <w:style w:type="character" w:customStyle="1" w:styleId="IntestazioneCarattere">
    <w:name w:val="Intestazione Carattere"/>
    <w:basedOn w:val="Carpredefinitoparagrafo"/>
    <w:link w:val="Intestazione"/>
    <w:uiPriority w:val="99"/>
    <w:qFormat/>
    <w:rsid w:val="00A82DDB"/>
    <w:rPr>
      <w:sz w:val="24"/>
    </w:rPr>
  </w:style>
  <w:style w:type="character" w:customStyle="1" w:styleId="PidipaginaCarattere">
    <w:name w:val="Piè di pagina Carattere"/>
    <w:basedOn w:val="Carpredefinitoparagrafo"/>
    <w:link w:val="Pidipagina"/>
    <w:uiPriority w:val="99"/>
    <w:qFormat/>
    <w:rsid w:val="00A82DDB"/>
    <w:rPr>
      <w:sz w:val="24"/>
    </w:rPr>
  </w:style>
  <w:style w:type="character" w:customStyle="1" w:styleId="CollegamentoInternet">
    <w:name w:val="Collegamento Internet"/>
    <w:basedOn w:val="Carpredefinitoparagrafo"/>
    <w:rsid w:val="00885342"/>
    <w:rPr>
      <w:color w:val="0000FF"/>
      <w:u w:val="single"/>
    </w:rPr>
  </w:style>
  <w:style w:type="character" w:customStyle="1" w:styleId="apple-converted-space">
    <w:name w:val="apple-converted-space"/>
    <w:basedOn w:val="Carpredefinitoparagrafo"/>
    <w:qFormat/>
    <w:rsid w:val="002457A0"/>
  </w:style>
  <w:style w:type="character" w:customStyle="1" w:styleId="TestonotaapidipaginaCarattere">
    <w:name w:val="Testo nota a piè di pagina Carattere"/>
    <w:basedOn w:val="Carpredefinitoparagrafo"/>
    <w:link w:val="Testonotaapidipagina"/>
    <w:uiPriority w:val="99"/>
    <w:qFormat/>
    <w:rsid w:val="00211638"/>
    <w:rPr>
      <w:rFonts w:asciiTheme="minorHAnsi" w:eastAsiaTheme="minorHAnsi" w:hAnsiTheme="minorHAnsi" w:cstheme="minorBidi"/>
      <w:lang w:eastAsia="en-US"/>
    </w:rPr>
  </w:style>
  <w:style w:type="character" w:customStyle="1" w:styleId="Richiamoallanotaapidipagina">
    <w:name w:val="Richiamo alla nota a piè di pagina"/>
    <w:rsid w:val="00075237"/>
    <w:rPr>
      <w:vertAlign w:val="superscript"/>
    </w:rPr>
  </w:style>
  <w:style w:type="character" w:customStyle="1" w:styleId="FootnoteCharacters">
    <w:name w:val="Footnote Characters"/>
    <w:basedOn w:val="Carpredefinitoparagrafo"/>
    <w:uiPriority w:val="99"/>
    <w:unhideWhenUsed/>
    <w:qFormat/>
    <w:rsid w:val="00211638"/>
    <w:rPr>
      <w:vertAlign w:val="superscript"/>
    </w:rPr>
  </w:style>
  <w:style w:type="character" w:customStyle="1" w:styleId="TestofumettoCarattere">
    <w:name w:val="Testo fumetto Carattere"/>
    <w:basedOn w:val="Carpredefinitoparagrafo"/>
    <w:link w:val="Testofumetto"/>
    <w:qFormat/>
    <w:rsid w:val="00655AAC"/>
    <w:rPr>
      <w:rFonts w:ascii="Tahoma" w:hAnsi="Tahoma" w:cs="Tahoma"/>
      <w:sz w:val="16"/>
      <w:szCs w:val="16"/>
      <w:lang w:eastAsia="en-US"/>
    </w:rPr>
  </w:style>
  <w:style w:type="character" w:customStyle="1" w:styleId="UnresolvedMention">
    <w:name w:val="Unresolved Mention"/>
    <w:basedOn w:val="Carpredefinitoparagrafo"/>
    <w:uiPriority w:val="99"/>
    <w:semiHidden/>
    <w:unhideWhenUsed/>
    <w:qFormat/>
    <w:rsid w:val="00C008FE"/>
    <w:rPr>
      <w:color w:val="605E5C"/>
      <w:shd w:val="clear" w:color="auto" w:fill="E1DFDD"/>
    </w:rPr>
  </w:style>
  <w:style w:type="paragraph" w:styleId="Titolo">
    <w:name w:val="Title"/>
    <w:basedOn w:val="Normale"/>
    <w:next w:val="Corpotesto"/>
    <w:qFormat/>
    <w:rsid w:val="00075237"/>
    <w:pPr>
      <w:keepNext/>
      <w:spacing w:before="240" w:after="120"/>
    </w:pPr>
    <w:rPr>
      <w:rFonts w:ascii="Liberation Sans" w:eastAsia="Microsoft YaHei" w:hAnsi="Liberation Sans" w:cs="Mangal"/>
      <w:sz w:val="28"/>
      <w:szCs w:val="28"/>
    </w:rPr>
  </w:style>
  <w:style w:type="paragraph" w:styleId="Corpotesto">
    <w:name w:val="Body Text"/>
    <w:basedOn w:val="Normale"/>
    <w:rsid w:val="00075237"/>
    <w:pPr>
      <w:spacing w:after="140" w:line="276" w:lineRule="auto"/>
    </w:pPr>
  </w:style>
  <w:style w:type="paragraph" w:styleId="Elenco">
    <w:name w:val="List"/>
    <w:basedOn w:val="Corpotesto"/>
    <w:rsid w:val="00075237"/>
    <w:rPr>
      <w:rFonts w:cs="Mangal"/>
    </w:rPr>
  </w:style>
  <w:style w:type="paragraph" w:styleId="Didascalia">
    <w:name w:val="caption"/>
    <w:basedOn w:val="Normale"/>
    <w:qFormat/>
    <w:rsid w:val="00075237"/>
    <w:pPr>
      <w:suppressLineNumbers/>
      <w:spacing w:before="120" w:after="120"/>
    </w:pPr>
    <w:rPr>
      <w:rFonts w:cs="Mangal"/>
      <w:i/>
      <w:iCs/>
    </w:rPr>
  </w:style>
  <w:style w:type="paragraph" w:customStyle="1" w:styleId="Indice">
    <w:name w:val="Indice"/>
    <w:basedOn w:val="Normale"/>
    <w:qFormat/>
    <w:rsid w:val="00075237"/>
    <w:pPr>
      <w:suppressLineNumbers/>
    </w:pPr>
    <w:rPr>
      <w:rFonts w:cs="Mangal"/>
    </w:rPr>
  </w:style>
  <w:style w:type="paragraph" w:customStyle="1" w:styleId="Intestazioneepidipagina">
    <w:name w:val="Intestazione e piè di pagina"/>
    <w:basedOn w:val="Normale"/>
    <w:qFormat/>
    <w:rsid w:val="00075237"/>
  </w:style>
  <w:style w:type="paragraph" w:styleId="Intestazione">
    <w:name w:val="header"/>
    <w:basedOn w:val="Normale"/>
    <w:link w:val="IntestazioneCarattere"/>
    <w:uiPriority w:val="99"/>
    <w:unhideWhenUsed/>
    <w:rsid w:val="00A82DDB"/>
    <w:pPr>
      <w:tabs>
        <w:tab w:val="center" w:pos="4819"/>
        <w:tab w:val="right" w:pos="9638"/>
      </w:tabs>
    </w:pPr>
    <w:rPr>
      <w:rFonts w:ascii="Cambria" w:eastAsia="Cambria" w:hAnsi="Cambria"/>
      <w:lang w:eastAsia="en-US"/>
    </w:rPr>
  </w:style>
  <w:style w:type="paragraph" w:styleId="Pidipagina">
    <w:name w:val="footer"/>
    <w:basedOn w:val="Normale"/>
    <w:link w:val="PidipaginaCarattere"/>
    <w:uiPriority w:val="99"/>
    <w:unhideWhenUsed/>
    <w:rsid w:val="00A82DDB"/>
    <w:pPr>
      <w:tabs>
        <w:tab w:val="center" w:pos="4819"/>
        <w:tab w:val="right" w:pos="9638"/>
      </w:tabs>
    </w:pPr>
    <w:rPr>
      <w:rFonts w:ascii="Cambria" w:eastAsia="Cambria" w:hAnsi="Cambria"/>
      <w:lang w:eastAsia="en-US"/>
    </w:rPr>
  </w:style>
  <w:style w:type="paragraph" w:styleId="Paragrafoelenco">
    <w:name w:val="List Paragraph"/>
    <w:basedOn w:val="Normale"/>
    <w:uiPriority w:val="34"/>
    <w:qFormat/>
    <w:rsid w:val="00D47EA9"/>
    <w:pPr>
      <w:spacing w:after="200" w:line="276" w:lineRule="auto"/>
      <w:ind w:left="720"/>
    </w:pPr>
    <w:rPr>
      <w:rFonts w:ascii="Calibri" w:hAnsi="Calibri" w:cs="Calibri"/>
      <w:sz w:val="22"/>
      <w:szCs w:val="22"/>
      <w:lang w:eastAsia="en-US"/>
    </w:rPr>
  </w:style>
  <w:style w:type="paragraph" w:customStyle="1" w:styleId="m-5113619490410378957msoplaintext">
    <w:name w:val="m_-5113619490410378957msoplaintext"/>
    <w:basedOn w:val="Normale"/>
    <w:qFormat/>
    <w:rsid w:val="0027505D"/>
    <w:pPr>
      <w:spacing w:beforeAutospacing="1" w:afterAutospacing="1"/>
    </w:pPr>
  </w:style>
  <w:style w:type="paragraph" w:styleId="NormaleWeb">
    <w:name w:val="Normal (Web)"/>
    <w:basedOn w:val="Normale"/>
    <w:uiPriority w:val="99"/>
    <w:unhideWhenUsed/>
    <w:qFormat/>
    <w:rsid w:val="00A72680"/>
    <w:pPr>
      <w:spacing w:beforeAutospacing="1" w:afterAutospacing="1"/>
    </w:pPr>
  </w:style>
  <w:style w:type="paragraph" w:styleId="Testonotaapidipagina">
    <w:name w:val="footnote text"/>
    <w:basedOn w:val="Normale"/>
    <w:link w:val="TestonotaapidipaginaCarattere"/>
    <w:uiPriority w:val="99"/>
    <w:unhideWhenUsed/>
    <w:rsid w:val="00211638"/>
    <w:rPr>
      <w:rFonts w:asciiTheme="minorHAnsi" w:eastAsiaTheme="minorHAnsi" w:hAnsiTheme="minorHAnsi" w:cstheme="minorBidi"/>
      <w:sz w:val="20"/>
      <w:szCs w:val="20"/>
      <w:lang w:eastAsia="en-US"/>
    </w:rPr>
  </w:style>
  <w:style w:type="paragraph" w:styleId="Testofumetto">
    <w:name w:val="Balloon Text"/>
    <w:basedOn w:val="Normale"/>
    <w:link w:val="TestofumettoCarattere"/>
    <w:qFormat/>
    <w:rsid w:val="00655AAC"/>
    <w:rPr>
      <w:rFonts w:ascii="Tahoma" w:eastAsia="Cambria" w:hAnsi="Tahoma" w:cs="Tahoma"/>
      <w:sz w:val="16"/>
      <w:szCs w:val="16"/>
      <w:lang w:eastAsia="en-US"/>
    </w:rPr>
  </w:style>
  <w:style w:type="paragraph" w:customStyle="1" w:styleId="Contenutocornice">
    <w:name w:val="Contenuto cornice"/>
    <w:basedOn w:val="Normale"/>
    <w:qFormat/>
    <w:rsid w:val="00075237"/>
  </w:style>
  <w:style w:type="table" w:styleId="Grigliatabella">
    <w:name w:val="Table Grid"/>
    <w:basedOn w:val="Tabellanormale"/>
    <w:uiPriority w:val="59"/>
    <w:rsid w:val="00506B3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umeropagina">
    <w:name w:val="page number"/>
    <w:basedOn w:val="Carpredefinitoparagrafo"/>
    <w:semiHidden/>
    <w:unhideWhenUsed/>
    <w:rsid w:val="001A72A7"/>
  </w:style>
  <w:style w:type="paragraph" w:customStyle="1" w:styleId="LABELOBBLIGATORI">
    <w:name w:val="LABEL OBBLIGATORI"/>
    <w:basedOn w:val="Normale"/>
    <w:rsid w:val="00C24F6B"/>
    <w:pPr>
      <w:suppressAutoHyphens w:val="0"/>
    </w:pPr>
    <w:rPr>
      <w:rFonts w:ascii="Arial" w:hAnsi="Arial"/>
      <w:b/>
      <w:color w:val="FFFFFF"/>
      <w:sz w:val="20"/>
      <w:szCs w:val="20"/>
    </w:rPr>
  </w:style>
  <w:style w:type="paragraph" w:customStyle="1" w:styleId="LABELSEMPLICI">
    <w:name w:val="LABEL SEMPLICI"/>
    <w:basedOn w:val="LABELOBBLIGATORI"/>
    <w:rsid w:val="00C24F6B"/>
    <w:rPr>
      <w:b w:val="0"/>
      <w:color w:val="000080"/>
    </w:rPr>
  </w:style>
  <w:style w:type="paragraph" w:customStyle="1" w:styleId="CAMPI">
    <w:name w:val="CAMPI"/>
    <w:basedOn w:val="Normale"/>
    <w:rsid w:val="00C24F6B"/>
    <w:pPr>
      <w:suppressAutoHyphens w:val="0"/>
      <w:spacing w:before="120" w:after="120" w:line="288" w:lineRule="auto"/>
    </w:pPr>
    <w:rPr>
      <w:rFonts w:ascii="Arial" w:hAnsi="Arial"/>
      <w:sz w:val="18"/>
      <w:szCs w:val="20"/>
    </w:rPr>
  </w:style>
  <w:style w:type="character" w:styleId="Collegamentoipertestuale">
    <w:name w:val="Hyperlink"/>
    <w:basedOn w:val="Carpredefinitoparagrafo"/>
    <w:unhideWhenUsed/>
    <w:rsid w:val="002C1FEF"/>
    <w:rPr>
      <w:color w:val="0000FF" w:themeColor="hyperlink"/>
      <w:u w:val="single"/>
    </w:rPr>
  </w:style>
  <w:style w:type="character" w:styleId="Rimandocommento">
    <w:name w:val="annotation reference"/>
    <w:basedOn w:val="Carpredefinitoparagrafo"/>
    <w:semiHidden/>
    <w:unhideWhenUsed/>
    <w:rsid w:val="00701637"/>
    <w:rPr>
      <w:sz w:val="16"/>
      <w:szCs w:val="16"/>
    </w:rPr>
  </w:style>
  <w:style w:type="paragraph" w:styleId="Testocommento">
    <w:name w:val="annotation text"/>
    <w:basedOn w:val="Normale"/>
    <w:link w:val="TestocommentoCarattere"/>
    <w:semiHidden/>
    <w:unhideWhenUsed/>
    <w:rsid w:val="00701637"/>
    <w:rPr>
      <w:sz w:val="20"/>
      <w:szCs w:val="20"/>
    </w:rPr>
  </w:style>
  <w:style w:type="character" w:customStyle="1" w:styleId="TestocommentoCarattere">
    <w:name w:val="Testo commento Carattere"/>
    <w:basedOn w:val="Carpredefinitoparagrafo"/>
    <w:link w:val="Testocommento"/>
    <w:semiHidden/>
    <w:rsid w:val="00701637"/>
    <w:rPr>
      <w:rFonts w:ascii="Times New Roman" w:eastAsia="Times New Roman" w:hAnsi="Times New Roman"/>
    </w:rPr>
  </w:style>
  <w:style w:type="paragraph" w:styleId="Soggettocommento">
    <w:name w:val="annotation subject"/>
    <w:basedOn w:val="Testocommento"/>
    <w:next w:val="Testocommento"/>
    <w:link w:val="SoggettocommentoCarattere"/>
    <w:semiHidden/>
    <w:unhideWhenUsed/>
    <w:rsid w:val="00701637"/>
    <w:rPr>
      <w:b/>
      <w:bCs/>
    </w:rPr>
  </w:style>
  <w:style w:type="character" w:customStyle="1" w:styleId="SoggettocommentoCarattere">
    <w:name w:val="Soggetto commento Carattere"/>
    <w:basedOn w:val="TestocommentoCarattere"/>
    <w:link w:val="Soggettocommento"/>
    <w:semiHidden/>
    <w:rsid w:val="00701637"/>
    <w:rPr>
      <w:rFonts w:ascii="Times New Roman" w:eastAsia="Times New Roman" w:hAnsi="Times New Roman"/>
      <w:b/>
      <w:bCs/>
    </w:rPr>
  </w:style>
  <w:style w:type="character" w:styleId="Collegamentovisitato">
    <w:name w:val="FollowedHyperlink"/>
    <w:basedOn w:val="Carpredefinitoparagrafo"/>
    <w:semiHidden/>
    <w:unhideWhenUsed/>
    <w:rsid w:val="007235F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615253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sgi2.isprambiente.it/ithacaweb/Mappatura.aspx"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depositonazionale.it/deposito-nazionale/pagine/che-cose-il-deposito-nazionale.aspx" TargetMode="External"/><Relationship Id="rId5" Type="http://schemas.openxmlformats.org/officeDocument/2006/relationships/settings" Target="settings.xml"/><Relationship Id="rId15" Type="http://schemas.openxmlformats.org/officeDocument/2006/relationships/image" Target="media/image4.tiff"/><Relationship Id="rId10" Type="http://schemas.openxmlformats.org/officeDocument/2006/relationships/hyperlink" Target="http://www.depositonazionale.it/deposito-nazionale/pagine/che-cose-il-deposito-nazionale.aspx" TargetMode="Externa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tiff"/><Relationship Id="rId14" Type="http://schemas.openxmlformats.org/officeDocument/2006/relationships/image" Target="media/image3.tiff"/></Relationships>
</file>

<file path=word/_rels/footer2.xml.rels><?xml version="1.0" encoding="UTF-8" standalone="yes"?>
<Relationships xmlns="http://schemas.openxmlformats.org/package/2006/relationships"><Relationship Id="rId1" Type="http://schemas.openxmlformats.org/officeDocument/2006/relationships/hyperlink" Target="http://www.regione.puglia.i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em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B244F7-2CD6-4E54-BC39-12A1FC34E8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1029</TotalTime>
  <Pages>24</Pages>
  <Words>7700</Words>
  <Characters>43890</Characters>
  <Application>Microsoft Office Word</Application>
  <DocSecurity>0</DocSecurity>
  <Lines>365</Lines>
  <Paragraphs>102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51488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Elisa</dc:creator>
  <cp:lastModifiedBy>Bruno</cp:lastModifiedBy>
  <cp:revision>88</cp:revision>
  <cp:lastPrinted>2021-02-03T11:08:00Z</cp:lastPrinted>
  <dcterms:created xsi:type="dcterms:W3CDTF">2021-02-03T16:59:00Z</dcterms:created>
  <dcterms:modified xsi:type="dcterms:W3CDTF">2021-02-08T12:39:00Z</dcterms:modified>
  <dc:language>it-IT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